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610" w:firstLineChars="500"/>
        <w:jc w:val="both"/>
        <w:textAlignment w:val="auto"/>
        <w:rPr>
          <w:rFonts w:hint="default" w:ascii="黑体" w:hAnsi="黑体" w:eastAsia="黑体"/>
          <w:b/>
          <w:bCs w:val="0"/>
          <w:color w:val="auto"/>
          <w:position w:val="0"/>
          <w:sz w:val="52"/>
          <w:szCs w:val="52"/>
          <w:shd w:val="clear" w:color="000000" w:fill="FFFFFF"/>
        </w:rPr>
      </w:pPr>
      <w:r>
        <w:rPr>
          <w:rFonts w:hint="default" w:ascii="黑体" w:hAnsi="黑体" w:eastAsia="黑体"/>
          <w:b/>
          <w:bCs w:val="0"/>
          <w:color w:val="auto"/>
          <w:position w:val="0"/>
          <w:sz w:val="52"/>
          <w:szCs w:val="52"/>
          <w:shd w:val="clear" w:color="000000" w:fill="FFFFFF"/>
        </w:rPr>
        <w:t>成都华夏旅游商务学校</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811"/>
        <w:jc w:val="both"/>
        <w:textAlignment w:val="auto"/>
        <w:rPr>
          <w:rFonts w:hint="default" w:ascii="微软雅黑" w:hAnsi="微软雅黑" w:eastAsia="微软雅黑"/>
          <w:b w:val="0"/>
          <w:bCs/>
          <w:color w:val="auto"/>
          <w:position w:val="0"/>
          <w:sz w:val="44"/>
          <w:szCs w:val="44"/>
          <w:shd w:val="clear" w:color="000000" w:fill="FFFFFF"/>
        </w:rPr>
      </w:pPr>
      <w:r>
        <w:rPr>
          <w:rFonts w:hint="eastAsia" w:ascii="黑体" w:hAnsi="黑体" w:eastAsia="黑体"/>
          <w:b w:val="0"/>
          <w:bCs/>
          <w:color w:val="auto"/>
          <w:position w:val="0"/>
          <w:sz w:val="44"/>
          <w:szCs w:val="44"/>
          <w:shd w:val="clear" w:color="000000" w:fill="FFFFFF"/>
          <w:lang w:val="en-US" w:eastAsia="zh-CN"/>
        </w:rPr>
        <w:t>2021</w:t>
      </w:r>
      <w:r>
        <w:rPr>
          <w:rFonts w:hint="default" w:ascii="黑体" w:hAnsi="黑体" w:eastAsia="黑体"/>
          <w:b w:val="0"/>
          <w:bCs/>
          <w:color w:val="auto"/>
          <w:position w:val="0"/>
          <w:sz w:val="44"/>
          <w:szCs w:val="44"/>
          <w:shd w:val="clear" w:color="000000" w:fill="FFFFFF"/>
        </w:rPr>
        <w:t>年教育质量年度报告</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2"/>
        <w:jc w:val="both"/>
        <w:textAlignment w:val="auto"/>
        <w:rPr>
          <w:rFonts w:hint="default" w:ascii="宋体" w:hAnsi="Times New Roman" w:eastAsia="Times New Roman"/>
          <w:b/>
          <w:color w:val="000000" w:themeColor="text1"/>
          <w:position w:val="0"/>
          <w:sz w:val="28"/>
          <w:szCs w:val="28"/>
          <w:shd w:val="clear" w:color="000000" w:fill="FFFFFF"/>
        </w:rPr>
      </w:pP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2"/>
        <w:jc w:val="both"/>
        <w:textAlignment w:val="auto"/>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1.学校情况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1.1学校概况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成都华夏旅游商务学校（以下简称学校）是成都市双流区教育局批准设立的一所全日制中等职业学校，学校规模适宜、专业齐全，是以学前教育</w:t>
      </w:r>
      <w:r>
        <w:rPr>
          <w:rFonts w:hint="eastAsia" w:ascii="宋体" w:eastAsia="宋体"/>
          <w:color w:val="000000" w:themeColor="text1"/>
          <w:position w:val="0"/>
          <w:sz w:val="28"/>
          <w:szCs w:val="28"/>
          <w:shd w:val="clear" w:color="000000" w:fill="FFFFFF"/>
          <w:lang w:eastAsia="zh-CN"/>
        </w:rPr>
        <w:t>专业</w:t>
      </w:r>
      <w:r>
        <w:rPr>
          <w:rFonts w:hint="eastAsia" w:ascii="宋体" w:eastAsia="宋体"/>
          <w:color w:val="000000" w:themeColor="text1"/>
          <w:position w:val="0"/>
          <w:sz w:val="28"/>
          <w:szCs w:val="28"/>
          <w:shd w:val="clear" w:color="000000" w:fill="FFFFFF"/>
          <w:lang w:val="en-US" w:eastAsia="zh-CN"/>
        </w:rPr>
        <w:t>和航空服务专业</w:t>
      </w:r>
      <w:r>
        <w:rPr>
          <w:rFonts w:hint="default" w:ascii="宋体" w:hAnsi="Times New Roman" w:eastAsia="Times New Roman"/>
          <w:color w:val="000000" w:themeColor="text1"/>
          <w:position w:val="0"/>
          <w:sz w:val="28"/>
          <w:szCs w:val="28"/>
          <w:shd w:val="clear" w:color="000000" w:fill="FFFFFF"/>
        </w:rPr>
        <w:t>为特色的综合性学校和</w:t>
      </w:r>
      <w:r>
        <w:rPr>
          <w:rFonts w:hint="eastAsia" w:ascii="宋体" w:eastAsia="宋体"/>
          <w:color w:val="000000" w:themeColor="text1"/>
          <w:position w:val="0"/>
          <w:sz w:val="28"/>
          <w:szCs w:val="28"/>
          <w:shd w:val="clear" w:color="000000" w:fill="FFFFFF"/>
          <w:lang w:eastAsia="zh-CN"/>
        </w:rPr>
        <w:t>劳动人力资源保障部授予的</w:t>
      </w:r>
      <w:r>
        <w:rPr>
          <w:rFonts w:hint="default" w:ascii="宋体" w:hAnsi="Times New Roman" w:eastAsia="Times New Roman"/>
          <w:color w:val="000000" w:themeColor="text1"/>
          <w:position w:val="0"/>
          <w:sz w:val="28"/>
          <w:szCs w:val="28"/>
          <w:shd w:val="clear" w:color="000000" w:fill="FFFFFF"/>
        </w:rPr>
        <w:t>国家职业技能鉴定所。学校创办于199</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年，已为累计社会培养</w:t>
      </w:r>
      <w:r>
        <w:rPr>
          <w:rFonts w:hint="eastAsia" w:ascii="宋体" w:eastAsia="宋体"/>
          <w:color w:val="000000" w:themeColor="text1"/>
          <w:position w:val="0"/>
          <w:sz w:val="28"/>
          <w:szCs w:val="28"/>
          <w:shd w:val="clear" w:color="000000" w:fill="FFFFFF"/>
          <w:lang w:val="en-US" w:eastAsia="zh-CN"/>
        </w:rPr>
        <w:t>3.3</w:t>
      </w:r>
      <w:r>
        <w:rPr>
          <w:rFonts w:hint="default" w:ascii="宋体" w:hAnsi="Times New Roman" w:eastAsia="Times New Roman"/>
          <w:color w:val="000000" w:themeColor="text1"/>
          <w:position w:val="0"/>
          <w:sz w:val="28"/>
          <w:szCs w:val="28"/>
          <w:shd w:val="clear" w:color="000000" w:fill="FFFFFF"/>
        </w:rPr>
        <w:t>万</w:t>
      </w:r>
      <w:r>
        <w:rPr>
          <w:rFonts w:hint="eastAsia" w:ascii="宋体" w:eastAsia="宋体"/>
          <w:color w:val="000000" w:themeColor="text1"/>
          <w:position w:val="0"/>
          <w:sz w:val="28"/>
          <w:szCs w:val="28"/>
          <w:shd w:val="clear" w:color="000000" w:fill="FFFFFF"/>
          <w:lang w:val="en-US" w:eastAsia="zh-CN"/>
        </w:rPr>
        <w:t>名</w:t>
      </w:r>
      <w:r>
        <w:rPr>
          <w:rFonts w:hint="default" w:ascii="宋体" w:hAnsi="Times New Roman" w:eastAsia="Times New Roman"/>
          <w:color w:val="000000" w:themeColor="text1"/>
          <w:position w:val="0"/>
          <w:sz w:val="28"/>
          <w:szCs w:val="28"/>
          <w:shd w:val="clear" w:color="000000" w:fill="FFFFFF"/>
        </w:rPr>
        <w:t>各类应用型人才，位于</w:t>
      </w:r>
      <w:r>
        <w:rPr>
          <w:rFonts w:hint="eastAsia" w:ascii="宋体" w:eastAsia="宋体"/>
          <w:color w:val="000000" w:themeColor="text1"/>
          <w:position w:val="0"/>
          <w:sz w:val="28"/>
          <w:szCs w:val="28"/>
          <w:shd w:val="clear" w:color="000000" w:fill="FFFFFF"/>
          <w:lang w:eastAsia="zh-CN"/>
        </w:rPr>
        <w:t>成都市</w:t>
      </w:r>
      <w:r>
        <w:rPr>
          <w:rFonts w:hint="default" w:ascii="宋体" w:hAnsi="Times New Roman" w:eastAsia="Times New Roman"/>
          <w:color w:val="000000" w:themeColor="text1"/>
          <w:position w:val="0"/>
          <w:sz w:val="28"/>
          <w:szCs w:val="28"/>
          <w:shd w:val="clear" w:color="000000" w:fill="FFFFFF"/>
        </w:rPr>
        <w:t>双流区西航港街道双华路728号。</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21</w:t>
      </w:r>
      <w:r>
        <w:rPr>
          <w:rFonts w:hint="default" w:ascii="宋体" w:hAnsi="Times New Roman" w:eastAsia="Times New Roman"/>
          <w:color w:val="000000" w:themeColor="text1"/>
          <w:position w:val="0"/>
          <w:sz w:val="28"/>
          <w:szCs w:val="28"/>
          <w:shd w:val="clear" w:color="000000" w:fill="FFFFFF"/>
        </w:rPr>
        <w:t>年</w:t>
      </w:r>
      <w:r>
        <w:rPr>
          <w:rFonts w:hint="eastAsia" w:ascii="宋体" w:eastAsia="宋体"/>
          <w:color w:val="000000" w:themeColor="text1"/>
          <w:position w:val="0"/>
          <w:sz w:val="28"/>
          <w:szCs w:val="28"/>
          <w:shd w:val="clear" w:color="000000" w:fill="FFFFFF"/>
          <w:lang w:eastAsia="zh-CN"/>
        </w:rPr>
        <w:t>来</w:t>
      </w:r>
      <w:r>
        <w:rPr>
          <w:rFonts w:hint="default" w:ascii="宋体" w:hAnsi="Times New Roman" w:eastAsia="Times New Roman"/>
          <w:color w:val="000000" w:themeColor="text1"/>
          <w:position w:val="0"/>
          <w:sz w:val="28"/>
          <w:szCs w:val="28"/>
          <w:shd w:val="clear" w:color="000000" w:fill="FFFFFF"/>
        </w:rPr>
        <w:t>，学校</w:t>
      </w:r>
      <w:r>
        <w:rPr>
          <w:rFonts w:hint="eastAsia" w:ascii="宋体" w:eastAsia="宋体"/>
          <w:color w:val="000000" w:themeColor="text1"/>
          <w:position w:val="0"/>
          <w:sz w:val="28"/>
          <w:szCs w:val="28"/>
          <w:shd w:val="clear" w:color="000000" w:fill="FFFFFF"/>
          <w:lang w:val="en-US" w:eastAsia="zh-CN"/>
        </w:rPr>
        <w:t>坚持</w:t>
      </w:r>
      <w:r>
        <w:rPr>
          <w:rFonts w:hint="eastAsia" w:ascii="宋体" w:eastAsia="宋体"/>
          <w:color w:val="000000" w:themeColor="text1"/>
          <w:position w:val="0"/>
          <w:sz w:val="28"/>
          <w:szCs w:val="28"/>
          <w:shd w:val="clear" w:color="000000" w:fill="FFFFFF"/>
          <w:lang w:eastAsia="zh-CN"/>
        </w:rPr>
        <w:t>以习近平新时代中国特色社会主义思想为指导，深入学习贯彻习近平总书记关于教育工作的重要论述和指示精神，全面落实</w:t>
      </w:r>
      <w:r>
        <w:rPr>
          <w:rFonts w:hint="default" w:ascii="宋体" w:hAnsi="Times New Roman" w:eastAsia="Times New Roman"/>
          <w:color w:val="000000" w:themeColor="text1"/>
          <w:position w:val="0"/>
          <w:sz w:val="28"/>
          <w:szCs w:val="28"/>
          <w:shd w:val="clear" w:color="000000" w:fill="FFFFFF"/>
        </w:rPr>
        <w:t>《国务院关于加快发展现代职业教育的决定》</w:t>
      </w:r>
      <w:r>
        <w:rPr>
          <w:rFonts w:hint="eastAsia" w:ascii="宋体" w:eastAsia="宋体"/>
          <w:color w:val="000000" w:themeColor="text1"/>
          <w:position w:val="0"/>
          <w:sz w:val="28"/>
          <w:szCs w:val="28"/>
          <w:shd w:val="clear" w:color="000000" w:fill="FFFFFF"/>
          <w:lang w:eastAsia="zh-CN"/>
        </w:rPr>
        <w:t>和全国、四川省教育大会的</w:t>
      </w:r>
      <w:r>
        <w:rPr>
          <w:rFonts w:hint="default" w:ascii="宋体" w:hAnsi="Times New Roman" w:eastAsia="Times New Roman"/>
          <w:color w:val="000000" w:themeColor="text1"/>
          <w:position w:val="0"/>
          <w:sz w:val="28"/>
          <w:szCs w:val="28"/>
          <w:shd w:val="clear" w:color="000000" w:fill="FFFFFF"/>
        </w:rPr>
        <w:t>精神要求，强化学校内涵发展，实施错位竞争战略，</w:t>
      </w:r>
      <w:r>
        <w:rPr>
          <w:rFonts w:hint="eastAsia" w:ascii="宋体" w:eastAsia="宋体"/>
          <w:color w:val="000000" w:themeColor="text1"/>
          <w:position w:val="0"/>
          <w:sz w:val="28"/>
          <w:szCs w:val="28"/>
          <w:shd w:val="clear" w:color="000000" w:fill="FFFFFF"/>
          <w:lang w:eastAsia="zh-CN"/>
        </w:rPr>
        <w:t>坚持以立德树人为根本任务，以办高质量的职业教育，</w:t>
      </w:r>
      <w:r>
        <w:rPr>
          <w:rFonts w:hint="default" w:ascii="宋体" w:hAnsi="Times New Roman" w:eastAsia="Times New Roman"/>
          <w:color w:val="000000" w:themeColor="text1"/>
          <w:position w:val="0"/>
          <w:sz w:val="28"/>
          <w:szCs w:val="28"/>
          <w:shd w:val="clear" w:color="000000" w:fill="FFFFFF"/>
        </w:rPr>
        <w:t>秉持“培养一名学生、致富一个家庭”的办学理念，</w:t>
      </w:r>
      <w:r>
        <w:rPr>
          <w:rFonts w:hint="eastAsia" w:ascii="宋体" w:eastAsia="宋体"/>
          <w:color w:val="000000" w:themeColor="text1"/>
          <w:position w:val="0"/>
          <w:sz w:val="28"/>
          <w:szCs w:val="28"/>
          <w:shd w:val="clear" w:color="000000" w:fill="FFFFFF"/>
          <w:lang w:eastAsia="zh-CN"/>
        </w:rPr>
        <w:t>以</w:t>
      </w:r>
      <w:r>
        <w:rPr>
          <w:rFonts w:hint="default" w:ascii="宋体" w:hAnsi="Times New Roman" w:eastAsia="Times New Roman"/>
          <w:color w:val="000000" w:themeColor="text1"/>
          <w:position w:val="0"/>
          <w:sz w:val="28"/>
          <w:szCs w:val="28"/>
          <w:shd w:val="clear" w:color="000000" w:fill="FFFFFF"/>
        </w:rPr>
        <w:t>“厚德、善行、博学、精技”</w:t>
      </w:r>
      <w:r>
        <w:rPr>
          <w:rFonts w:hint="eastAsia" w:ascii="宋体" w:eastAsia="宋体"/>
          <w:color w:val="000000" w:themeColor="text1"/>
          <w:position w:val="0"/>
          <w:sz w:val="28"/>
          <w:szCs w:val="28"/>
          <w:shd w:val="clear" w:color="000000" w:fill="FFFFFF"/>
          <w:lang w:eastAsia="zh-CN"/>
        </w:rPr>
        <w:t>为育人</w:t>
      </w:r>
      <w:r>
        <w:rPr>
          <w:rFonts w:hint="default" w:ascii="宋体" w:hAnsi="Times New Roman" w:eastAsia="Times New Roman"/>
          <w:color w:val="000000" w:themeColor="text1"/>
          <w:position w:val="0"/>
          <w:sz w:val="28"/>
          <w:szCs w:val="28"/>
          <w:shd w:val="clear" w:color="000000" w:fill="FFFFFF"/>
        </w:rPr>
        <w:t>目标，致力于培养复合型、高素质的技能创新人才。</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学校目前校园总占地面积46046平方米，校舍建筑面积29841平方米，累计投入资产2亿</w:t>
      </w:r>
      <w:r>
        <w:rPr>
          <w:rFonts w:hint="eastAsia" w:ascii="宋体" w:eastAsia="宋体"/>
          <w:color w:val="000000" w:themeColor="text1"/>
          <w:position w:val="0"/>
          <w:sz w:val="28"/>
          <w:szCs w:val="28"/>
          <w:shd w:val="clear" w:color="000000" w:fill="FFFFFF"/>
          <w:lang w:val="en-US" w:eastAsia="zh-CN"/>
        </w:rPr>
        <w:t>多</w:t>
      </w:r>
      <w:r>
        <w:rPr>
          <w:rFonts w:hint="default" w:ascii="宋体" w:hAnsi="Times New Roman" w:eastAsia="Times New Roman"/>
          <w:color w:val="000000" w:themeColor="text1"/>
          <w:position w:val="0"/>
          <w:sz w:val="28"/>
          <w:szCs w:val="28"/>
          <w:shd w:val="clear" w:color="000000" w:fill="FFFFFF"/>
        </w:rPr>
        <w:t>元。</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1.2学生情况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xml:space="preserve">　　1.2.1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21</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学校秋季学期招生情况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截止</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12月底共招收</w:t>
      </w:r>
      <w:r>
        <w:rPr>
          <w:rFonts w:hint="eastAsia" w:ascii="宋体" w:eastAsia="宋体"/>
          <w:color w:val="000000" w:themeColor="text1"/>
          <w:position w:val="0"/>
          <w:sz w:val="28"/>
          <w:szCs w:val="28"/>
          <w:shd w:val="clear" w:color="000000" w:fill="FFFFFF"/>
          <w:lang w:val="en-US" w:eastAsia="zh-CN"/>
        </w:rPr>
        <w:t>443</w:t>
      </w:r>
      <w:r>
        <w:rPr>
          <w:rFonts w:hint="default" w:ascii="宋体" w:hAnsi="Times New Roman" w:eastAsia="Times New Roman"/>
          <w:color w:val="000000" w:themeColor="text1"/>
          <w:position w:val="0"/>
          <w:sz w:val="28"/>
          <w:szCs w:val="28"/>
          <w:shd w:val="clear" w:color="000000" w:fill="FFFFFF"/>
        </w:rPr>
        <w:t>人，累计完成招生计划（招生计划</w:t>
      </w:r>
      <w:r>
        <w:rPr>
          <w:rFonts w:hint="eastAsia" w:ascii="宋体" w:eastAsia="宋体"/>
          <w:color w:val="000000" w:themeColor="text1"/>
          <w:position w:val="0"/>
          <w:sz w:val="28"/>
          <w:szCs w:val="28"/>
          <w:shd w:val="clear" w:color="000000" w:fill="FFFFFF"/>
          <w:lang w:val="en-US" w:eastAsia="zh-CN"/>
        </w:rPr>
        <w:t>500</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val="en-US" w:eastAsia="zh-CN"/>
        </w:rPr>
        <w:t>88.6</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未完成招生计划57人，</w:t>
      </w:r>
      <w:r>
        <w:rPr>
          <w:rFonts w:hint="default" w:ascii="宋体" w:hAnsi="Times New Roman" w:eastAsia="Times New Roman"/>
          <w:color w:val="000000" w:themeColor="text1"/>
          <w:position w:val="0"/>
          <w:sz w:val="28"/>
          <w:szCs w:val="28"/>
          <w:shd w:val="clear" w:color="000000" w:fill="FFFFFF"/>
        </w:rPr>
        <w:t>比上一年</w:t>
      </w:r>
      <w:r>
        <w:rPr>
          <w:rFonts w:hint="eastAsia" w:ascii="宋体" w:eastAsia="宋体"/>
          <w:color w:val="000000" w:themeColor="text1"/>
          <w:position w:val="0"/>
          <w:sz w:val="28"/>
          <w:szCs w:val="28"/>
          <w:shd w:val="clear" w:color="000000" w:fill="FFFFFF"/>
          <w:lang w:val="en-US" w:eastAsia="zh-CN"/>
        </w:rPr>
        <w:t>减少5</w:t>
      </w:r>
      <w:r>
        <w:rPr>
          <w:rFonts w:hint="default" w:ascii="宋体" w:hAnsi="Times New Roman" w:eastAsia="Times New Roman"/>
          <w:color w:val="000000" w:themeColor="text1"/>
          <w:position w:val="0"/>
          <w:sz w:val="28"/>
          <w:szCs w:val="28"/>
          <w:shd w:val="clear" w:color="000000" w:fill="FFFFFF"/>
        </w:rPr>
        <w:t>人。</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xml:space="preserve">1.2.2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秋季学期在校生规模</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eastAsia" w:ascii="宋体" w:hAnsi="Times New Roman" w:eastAsia="宋体"/>
          <w:color w:val="000000" w:themeColor="text1"/>
          <w:position w:val="0"/>
          <w:sz w:val="28"/>
          <w:szCs w:val="28"/>
          <w:shd w:val="clear" w:color="000000" w:fill="FFFFFF"/>
          <w:lang w:val="en-US" w:eastAsia="zh-CN"/>
        </w:rPr>
      </w:pPr>
      <w:r>
        <w:rPr>
          <w:rFonts w:hint="default" w:ascii="宋体" w:hAnsi="Times New Roman" w:eastAsia="Times New Roman"/>
          <w:color w:val="000000" w:themeColor="text1"/>
          <w:position w:val="0"/>
          <w:sz w:val="28"/>
          <w:szCs w:val="28"/>
          <w:shd w:val="clear" w:color="000000" w:fill="FFFFFF"/>
        </w:rPr>
        <w:t>截止至</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12月底，</w:t>
      </w:r>
      <w:r>
        <w:rPr>
          <w:rFonts w:hint="eastAsia" w:ascii="宋体" w:eastAsia="宋体"/>
          <w:color w:val="000000" w:themeColor="text1"/>
          <w:position w:val="0"/>
          <w:sz w:val="28"/>
          <w:szCs w:val="28"/>
          <w:shd w:val="clear" w:color="000000" w:fill="FFFFFF"/>
          <w:lang w:val="en-US" w:eastAsia="zh-CN"/>
        </w:rPr>
        <w:t>21级443人、20级447人、</w:t>
      </w:r>
      <w:r>
        <w:rPr>
          <w:rFonts w:hint="default" w:ascii="宋体" w:hAnsi="Times New Roman" w:eastAsia="Times New Roman"/>
          <w:color w:val="000000" w:themeColor="text1"/>
          <w:position w:val="0"/>
          <w:sz w:val="28"/>
          <w:szCs w:val="28"/>
          <w:shd w:val="clear" w:color="000000" w:fill="FFFFFF"/>
        </w:rPr>
        <w:t>1</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级</w:t>
      </w:r>
      <w:r>
        <w:rPr>
          <w:rFonts w:hint="eastAsia" w:ascii="宋体" w:eastAsia="宋体"/>
          <w:color w:val="000000" w:themeColor="text1"/>
          <w:position w:val="0"/>
          <w:sz w:val="28"/>
          <w:szCs w:val="28"/>
          <w:shd w:val="clear" w:color="000000" w:fill="FFFFFF"/>
          <w:lang w:val="en-US" w:eastAsia="zh-CN"/>
        </w:rPr>
        <w:t>803</w:t>
      </w:r>
      <w:r>
        <w:rPr>
          <w:rFonts w:hint="default" w:ascii="宋体" w:hAnsi="Times New Roman" w:eastAsia="Times New Roman"/>
          <w:color w:val="000000" w:themeColor="text1"/>
          <w:position w:val="0"/>
          <w:sz w:val="28"/>
          <w:szCs w:val="28"/>
          <w:shd w:val="clear" w:color="000000" w:fill="FFFFFF"/>
        </w:rPr>
        <w:t>人、1</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级</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学校累计在校生共有</w:t>
      </w:r>
      <w:r>
        <w:rPr>
          <w:rFonts w:hint="eastAsia" w:ascii="宋体" w:eastAsia="宋体"/>
          <w:color w:val="000000" w:themeColor="text1"/>
          <w:position w:val="0"/>
          <w:sz w:val="28"/>
          <w:szCs w:val="28"/>
          <w:shd w:val="clear" w:color="000000" w:fill="FFFFFF"/>
          <w:lang w:val="en-US" w:eastAsia="zh-CN"/>
        </w:rPr>
        <w:t>2176</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eastAsia="zh-CN"/>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701" w:firstLineChars="964"/>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表一：在校学生分年级统计图</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drawing>
          <wp:inline distT="0" distB="0" distL="114300" distR="114300">
            <wp:extent cx="5088890" cy="2562860"/>
            <wp:effectExtent l="4445" t="4445" r="1206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宋体" w:eastAsia="宋体"/>
          <w:color w:val="000000" w:themeColor="text1"/>
          <w:position w:val="0"/>
          <w:sz w:val="28"/>
          <w:szCs w:val="28"/>
          <w:lang w:val="en-US" w:eastAsia="zh-CN"/>
        </w:rPr>
        <w:t xml:space="preserve">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1.2.3 学校20</w:t>
      </w:r>
      <w:r>
        <w:rPr>
          <w:rFonts w:hint="eastAsia" w:ascii="宋体" w:eastAsia="宋体"/>
          <w:color w:val="000000" w:themeColor="text1"/>
          <w:position w:val="0"/>
          <w:sz w:val="28"/>
          <w:szCs w:val="28"/>
          <w:shd w:val="clear" w:color="000000" w:fill="FFFFFF"/>
          <w:lang w:val="en-US" w:eastAsia="zh-CN"/>
        </w:rPr>
        <w:t>21</w:t>
      </w:r>
      <w:r>
        <w:rPr>
          <w:rFonts w:hint="default" w:ascii="宋体" w:hAnsi="Times New Roman" w:eastAsia="Times New Roman"/>
          <w:color w:val="000000" w:themeColor="text1"/>
          <w:position w:val="0"/>
          <w:sz w:val="28"/>
          <w:szCs w:val="28"/>
          <w:shd w:val="clear" w:color="000000" w:fill="FFFFFF"/>
        </w:rPr>
        <w:t>届毕业生规模（201</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年级）</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1024" w:firstLineChars="366"/>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共有</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人毕业生，毕业率为100%。</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1.2.4 学生结构</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3362" w:firstLineChars="1200"/>
        <w:jc w:val="both"/>
        <w:textAlignment w:val="auto"/>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表二：</w:t>
      </w:r>
      <w:r>
        <w:rPr>
          <w:rFonts w:hint="eastAsia" w:ascii="宋体" w:eastAsia="宋体"/>
          <w:b/>
          <w:color w:val="000000" w:themeColor="text1"/>
          <w:position w:val="0"/>
          <w:sz w:val="28"/>
          <w:szCs w:val="28"/>
          <w:shd w:val="clear" w:color="000000" w:fill="FFFFFF"/>
          <w:lang w:val="en-US" w:eastAsia="zh-CN"/>
        </w:rPr>
        <w:t>2021年</w:t>
      </w:r>
      <w:r>
        <w:rPr>
          <w:rFonts w:hint="default" w:ascii="宋体" w:hAnsi="Times New Roman" w:eastAsia="Times New Roman"/>
          <w:b/>
          <w:color w:val="000000" w:themeColor="text1"/>
          <w:position w:val="0"/>
          <w:sz w:val="28"/>
          <w:szCs w:val="28"/>
          <w:shd w:val="clear" w:color="000000" w:fill="FFFFFF"/>
        </w:rPr>
        <w:t>各专业人数统计表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olor w:val="000000" w:themeColor="text1"/>
          <w:position w:val="0"/>
          <w:sz w:val="28"/>
          <w:szCs w:val="28"/>
          <w:shd w:val="clear" w:color="000000" w:fill="FFFFFF"/>
        </w:rPr>
      </w:pPr>
      <w:r>
        <w:rPr>
          <w:rFonts w:hint="eastAsia" w:ascii="宋体" w:hAnsi="宋体" w:cs="宋体"/>
          <w:w w:val="100"/>
          <w:kern w:val="0"/>
          <w:sz w:val="24"/>
          <w:szCs w:val="24"/>
          <w:shd w:val="clear"/>
          <w:lang w:val="en-US" w:eastAsia="zh-CN" w:bidi="ar"/>
        </w:rPr>
        <w:t xml:space="preserve">    </w:t>
      </w:r>
      <w:r>
        <w:rPr>
          <w:rFonts w:ascii="宋体" w:hAnsi="宋体" w:eastAsia="宋体" w:cs="宋体"/>
          <w:w w:val="100"/>
          <w:kern w:val="0"/>
          <w:sz w:val="24"/>
          <w:szCs w:val="24"/>
          <w:shd w:val="clear"/>
          <w:lang w:val="en-US" w:eastAsia="zh-CN" w:bidi="ar"/>
        </w:rPr>
        <w:drawing>
          <wp:inline distT="0" distB="0" distL="114300" distR="114300">
            <wp:extent cx="5747385" cy="1957705"/>
            <wp:effectExtent l="0" t="0" r="5715" b="4445"/>
            <wp:docPr id="3" name="图片 1" descr="E:\迎检资料\2021质量报告\专业人数.png专业人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迎检资料\2021质量报告\专业人数.png专业人数"/>
                    <pic:cNvPicPr>
                      <a:picLocks noChangeAspect="1"/>
                    </pic:cNvPicPr>
                  </pic:nvPicPr>
                  <pic:blipFill>
                    <a:blip r:embed="rId5"/>
                    <a:srcRect/>
                    <a:stretch>
                      <a:fillRect/>
                    </a:stretch>
                  </pic:blipFill>
                  <pic:spPr>
                    <a:xfrm>
                      <a:off x="0" y="0"/>
                      <a:ext cx="5747385" cy="1957705"/>
                    </a:xfrm>
                    <a:prstGeom prst="rect">
                      <a:avLst/>
                    </a:prstGeom>
                    <a:noFill/>
                    <a:ln w="9525">
                      <a:noFill/>
                    </a:ln>
                  </pic:spPr>
                </pic:pic>
              </a:graphicData>
            </a:graphic>
          </wp:inline>
        </w:drawing>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1.2.5 学生巩固率</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201</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级巩固率为</w:t>
      </w:r>
      <w:r>
        <w:rPr>
          <w:rFonts w:hint="eastAsia" w:ascii="宋体" w:eastAsia="宋体"/>
          <w:color w:val="000000" w:themeColor="text1"/>
          <w:position w:val="0"/>
          <w:sz w:val="28"/>
          <w:szCs w:val="28"/>
          <w:shd w:val="clear" w:color="000000" w:fill="FFFFFF"/>
          <w:lang w:val="en-US" w:eastAsia="zh-CN"/>
        </w:rPr>
        <w:t>100</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201</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级巩固率为9</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20</w:t>
      </w:r>
      <w:r>
        <w:rPr>
          <w:rFonts w:hint="eastAsia" w:ascii="宋体" w:eastAsia="宋体"/>
          <w:color w:val="000000" w:themeColor="text1"/>
          <w:position w:val="0"/>
          <w:sz w:val="28"/>
          <w:szCs w:val="28"/>
          <w:shd w:val="clear" w:color="000000" w:fill="FFFFFF"/>
          <w:lang w:val="en-US" w:eastAsia="zh-CN"/>
        </w:rPr>
        <w:t>20</w:t>
      </w:r>
      <w:r>
        <w:rPr>
          <w:rFonts w:hint="default" w:ascii="宋体" w:hAnsi="Times New Roman" w:eastAsia="Times New Roman"/>
          <w:color w:val="000000" w:themeColor="text1"/>
          <w:position w:val="0"/>
          <w:sz w:val="28"/>
          <w:szCs w:val="28"/>
          <w:shd w:val="clear" w:color="000000" w:fill="FFFFFF"/>
        </w:rPr>
        <w:t>级巩固率为9</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1.3教师队伍</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截止</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底，学校共有教职工</w:t>
      </w:r>
      <w:r>
        <w:rPr>
          <w:rFonts w:hint="eastAsia" w:ascii="宋体" w:eastAsia="宋体"/>
          <w:color w:val="000000" w:themeColor="text1"/>
          <w:position w:val="0"/>
          <w:sz w:val="28"/>
          <w:szCs w:val="28"/>
          <w:shd w:val="clear" w:color="000000" w:fill="FFFFFF"/>
          <w:lang w:val="en-US" w:eastAsia="zh-CN"/>
        </w:rPr>
        <w:t>115</w:t>
      </w:r>
      <w:r>
        <w:rPr>
          <w:rFonts w:hint="default" w:ascii="宋体" w:hAnsi="Times New Roman" w:eastAsia="Times New Roman"/>
          <w:color w:val="000000" w:themeColor="text1"/>
          <w:position w:val="0"/>
          <w:sz w:val="28"/>
          <w:szCs w:val="28"/>
          <w:shd w:val="clear" w:color="000000" w:fill="FFFFFF"/>
        </w:rPr>
        <w:t>人，生师比为</w:t>
      </w:r>
      <w:r>
        <w:rPr>
          <w:rFonts w:hint="eastAsia" w:ascii="宋体" w:eastAsia="宋体"/>
          <w:color w:val="000000" w:themeColor="text1"/>
          <w:position w:val="0"/>
          <w:sz w:val="28"/>
          <w:szCs w:val="28"/>
          <w:shd w:val="clear" w:color="000000" w:fill="FFFFFF"/>
          <w:lang w:val="en-US" w:eastAsia="zh-CN"/>
        </w:rPr>
        <w:t>16</w:t>
      </w:r>
      <w:r>
        <w:rPr>
          <w:rFonts w:hint="default" w:ascii="宋体" w:hAnsi="Times New Roman" w:eastAsia="Times New Roman"/>
          <w:color w:val="000000" w:themeColor="text1"/>
          <w:position w:val="0"/>
          <w:sz w:val="28"/>
          <w:szCs w:val="28"/>
          <w:shd w:val="clear" w:color="000000" w:fill="FFFFFF"/>
        </w:rPr>
        <w:t>：1。</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1"/>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其中专任教师</w:t>
      </w:r>
      <w:r>
        <w:rPr>
          <w:rFonts w:hint="eastAsia" w:ascii="宋体" w:eastAsia="宋体"/>
          <w:color w:val="000000" w:themeColor="text1"/>
          <w:position w:val="0"/>
          <w:sz w:val="28"/>
          <w:szCs w:val="28"/>
          <w:shd w:val="clear" w:color="000000" w:fill="FFFFFF"/>
          <w:lang w:val="en-US" w:eastAsia="zh-CN"/>
        </w:rPr>
        <w:t>86</w:t>
      </w:r>
      <w:r>
        <w:rPr>
          <w:rFonts w:hint="default" w:ascii="宋体" w:hAnsi="Times New Roman" w:eastAsia="Times New Roman"/>
          <w:color w:val="000000" w:themeColor="text1"/>
          <w:position w:val="0"/>
          <w:sz w:val="28"/>
          <w:szCs w:val="28"/>
          <w:shd w:val="clear" w:color="000000" w:fill="FFFFFF"/>
        </w:rPr>
        <w:t>人，占教职工总数的</w:t>
      </w:r>
      <w:r>
        <w:rPr>
          <w:rFonts w:hint="eastAsia" w:ascii="宋体" w:eastAsia="宋体"/>
          <w:color w:val="000000" w:themeColor="text1"/>
          <w:position w:val="0"/>
          <w:sz w:val="28"/>
          <w:szCs w:val="28"/>
          <w:shd w:val="clear" w:color="000000" w:fill="FFFFFF"/>
          <w:lang w:val="en-US" w:eastAsia="zh-CN"/>
        </w:rPr>
        <w:t>74</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%。职称结构上，专任教师中具有副高以上职称教师</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人，占专任教师总数的</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%；具有中级职称的教师</w:t>
      </w:r>
      <w:r>
        <w:rPr>
          <w:rFonts w:hint="eastAsia" w:ascii="宋体" w:eastAsia="宋体"/>
          <w:color w:val="000000" w:themeColor="text1"/>
          <w:position w:val="0"/>
          <w:sz w:val="28"/>
          <w:szCs w:val="28"/>
          <w:shd w:val="clear" w:color="000000" w:fill="FFFFFF"/>
          <w:lang w:val="en-US" w:eastAsia="zh-CN"/>
        </w:rPr>
        <w:t>29</w:t>
      </w:r>
      <w:r>
        <w:rPr>
          <w:rFonts w:hint="default" w:ascii="宋体" w:hAnsi="Times New Roman" w:eastAsia="Times New Roman"/>
          <w:color w:val="000000" w:themeColor="text1"/>
          <w:position w:val="0"/>
          <w:sz w:val="28"/>
          <w:szCs w:val="28"/>
          <w:shd w:val="clear" w:color="000000" w:fill="FFFFFF"/>
        </w:rPr>
        <w:t>人，占专任教师总数的3</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%。学历结构上，专任教师全部具有本科及以上学历，其中硕士研究生</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人，占专任教师总数的</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%。拥有“双师型”教师</w:t>
      </w:r>
      <w:r>
        <w:rPr>
          <w:rFonts w:hint="eastAsia" w:ascii="宋体" w:eastAsia="宋体"/>
          <w:color w:val="000000" w:themeColor="text1"/>
          <w:position w:val="0"/>
          <w:sz w:val="28"/>
          <w:szCs w:val="28"/>
          <w:shd w:val="clear" w:color="000000" w:fill="FFFFFF"/>
          <w:lang w:val="en-US" w:eastAsia="zh-CN"/>
        </w:rPr>
        <w:t>52</w:t>
      </w:r>
      <w:r>
        <w:rPr>
          <w:rFonts w:hint="default" w:ascii="宋体" w:hAnsi="Times New Roman" w:eastAsia="Times New Roman"/>
          <w:color w:val="000000" w:themeColor="text1"/>
          <w:position w:val="0"/>
          <w:sz w:val="28"/>
          <w:szCs w:val="28"/>
          <w:shd w:val="clear" w:color="000000" w:fill="FFFFFF"/>
        </w:rPr>
        <w:t>人，占专任教师总数的</w:t>
      </w:r>
      <w:r>
        <w:rPr>
          <w:rFonts w:hint="eastAsia" w:ascii="宋体" w:eastAsia="宋体"/>
          <w:color w:val="000000" w:themeColor="text1"/>
          <w:position w:val="0"/>
          <w:sz w:val="28"/>
          <w:szCs w:val="28"/>
          <w:shd w:val="clear" w:color="000000" w:fill="FFFFFF"/>
          <w:lang w:val="en-US" w:eastAsia="zh-CN"/>
        </w:rPr>
        <w:t>60</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，学校实际聘请行业企业兼职教师数</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人，占专任教师总数的10.</w:t>
      </w:r>
      <w:r>
        <w:rPr>
          <w:rFonts w:hint="eastAsia" w:ascii="宋体" w:eastAsia="宋体"/>
          <w:color w:val="000000" w:themeColor="text1"/>
          <w:position w:val="0"/>
          <w:sz w:val="28"/>
          <w:szCs w:val="28"/>
          <w:shd w:val="clear" w:color="000000" w:fill="FFFFFF"/>
          <w:lang w:val="en-US" w:eastAsia="zh-CN"/>
        </w:rPr>
        <w:t>4</w:t>
      </w:r>
      <w:r>
        <w:rPr>
          <w:rFonts w:hint="default" w:ascii="宋体" w:hAnsi="Times New Roman" w:eastAsia="Times New Roman"/>
          <w:color w:val="000000" w:themeColor="text1"/>
          <w:position w:val="0"/>
          <w:sz w:val="28"/>
          <w:szCs w:val="28"/>
          <w:shd w:val="clear" w:color="000000" w:fill="FFFFFF"/>
        </w:rPr>
        <w:t>%。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1"/>
        <w:jc w:val="both"/>
        <w:textAlignment w:val="auto"/>
        <w:rPr>
          <w:rFonts w:hint="default" w:ascii="宋体" w:hAnsi="Times New Roman" w:eastAsia="Times New Roman"/>
          <w:color w:val="000000" w:themeColor="text1"/>
          <w:position w:val="0"/>
          <w:sz w:val="28"/>
          <w:szCs w:val="28"/>
          <w:shd w:val="clear" w:color="000000" w:fill="FFFFFF"/>
        </w:rPr>
      </w:pP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718"/>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表三：专任教师职称比例饼状图　</w:t>
      </w:r>
      <w:r>
        <w:rPr>
          <w:rFonts w:hint="default" w:ascii="宋体" w:hAnsi="Times New Roman" w:eastAsia="Times New Roman"/>
          <w:color w:val="000000" w:themeColor="text1"/>
          <w:position w:val="0"/>
          <w:sz w:val="28"/>
          <w:szCs w:val="28"/>
          <w:shd w:val="clear" w:color="000000" w:fill="FFFFFF"/>
        </w:rPr>
        <w:t>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1"/>
        <w:jc w:val="both"/>
        <w:textAlignment w:val="auto"/>
        <w:rPr>
          <w:rFonts w:hint="default" w:ascii="宋体" w:hAnsi="Times New Roman" w:eastAsia="Times New Roman"/>
          <w:color w:val="000000" w:themeColor="text1"/>
          <w:position w:val="0"/>
          <w:sz w:val="28"/>
          <w:szCs w:val="28"/>
        </w:rPr>
      </w:pPr>
      <w:r>
        <w:drawing>
          <wp:inline distT="0" distB="0" distL="0" distR="0">
            <wp:extent cx="5535295" cy="2286000"/>
            <wp:effectExtent l="4445" t="4445" r="22860" b="14605"/>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ascii="宋体" w:hAnsi="Times New Roman" w:eastAsia="Times New Roman"/>
          <w:color w:val="000000" w:themeColor="text1"/>
          <w:position w:val="0"/>
          <w:sz w:val="28"/>
          <w:szCs w:val="28"/>
          <w:shd w:val="clear" w:color="000000" w:fill="FFFFFF"/>
        </w:rPr>
        <w:t>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1.4设施设备</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全校共有实训室面积逾9000平方米，共有专业实训室36间。全校教室合计68间，其中网络多媒体教室数5</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间。全校计算机合计</w:t>
      </w:r>
      <w:r>
        <w:rPr>
          <w:rFonts w:hint="eastAsia" w:ascii="宋体" w:eastAsia="宋体"/>
          <w:color w:val="000000" w:themeColor="text1"/>
          <w:position w:val="0"/>
          <w:sz w:val="28"/>
          <w:szCs w:val="28"/>
          <w:shd w:val="clear" w:color="000000" w:fill="FFFFFF"/>
          <w:lang w:val="en-US" w:eastAsia="zh-CN"/>
        </w:rPr>
        <w:t>644</w:t>
      </w:r>
      <w:r>
        <w:rPr>
          <w:rFonts w:hint="default" w:ascii="宋体" w:hAnsi="Times New Roman" w:eastAsia="Times New Roman"/>
          <w:color w:val="000000" w:themeColor="text1"/>
          <w:position w:val="0"/>
          <w:sz w:val="28"/>
          <w:szCs w:val="28"/>
          <w:shd w:val="clear" w:color="000000" w:fill="FFFFFF"/>
        </w:rPr>
        <w:t>台，其中教学用计算机</w:t>
      </w:r>
      <w:r>
        <w:rPr>
          <w:rFonts w:hint="eastAsia" w:ascii="宋体" w:eastAsia="宋体"/>
          <w:color w:val="000000" w:themeColor="text1"/>
          <w:position w:val="0"/>
          <w:sz w:val="28"/>
          <w:szCs w:val="28"/>
          <w:shd w:val="clear" w:color="000000" w:fill="FFFFFF"/>
          <w:lang w:val="en-US" w:eastAsia="zh-CN"/>
        </w:rPr>
        <w:t>552</w:t>
      </w:r>
      <w:r>
        <w:rPr>
          <w:rFonts w:hint="default" w:ascii="宋体" w:hAnsi="Times New Roman" w:eastAsia="Times New Roman"/>
          <w:color w:val="000000" w:themeColor="text1"/>
          <w:position w:val="0"/>
          <w:sz w:val="28"/>
          <w:szCs w:val="28"/>
          <w:shd w:val="clear" w:color="000000" w:fill="FFFFFF"/>
        </w:rPr>
        <w:t>台。</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以来，</w:t>
      </w:r>
      <w:r>
        <w:rPr>
          <w:rFonts w:hint="eastAsia" w:ascii="宋体" w:eastAsia="宋体"/>
          <w:color w:val="000000" w:themeColor="text1"/>
          <w:position w:val="0"/>
          <w:sz w:val="28"/>
          <w:szCs w:val="28"/>
          <w:shd w:val="clear" w:color="000000" w:fill="FFFFFF"/>
          <w:lang w:eastAsia="zh-CN"/>
        </w:rPr>
        <w:t>学校</w:t>
      </w:r>
      <w:r>
        <w:rPr>
          <w:rFonts w:hint="default" w:ascii="宋体" w:hAnsi="Times New Roman" w:eastAsia="Times New Roman"/>
          <w:color w:val="000000" w:themeColor="text1"/>
          <w:position w:val="0"/>
          <w:sz w:val="28"/>
          <w:szCs w:val="28"/>
          <w:shd w:val="clear" w:color="000000" w:fill="FFFFFF"/>
        </w:rPr>
        <w:t>完成</w:t>
      </w:r>
      <w:r>
        <w:rPr>
          <w:rFonts w:hint="eastAsia" w:ascii="宋体" w:eastAsia="宋体"/>
          <w:color w:val="000000" w:themeColor="text1"/>
          <w:position w:val="0"/>
          <w:sz w:val="28"/>
          <w:szCs w:val="28"/>
          <w:shd w:val="clear" w:color="000000" w:fill="FFFFFF"/>
          <w:lang w:val="en-US" w:eastAsia="zh-CN"/>
        </w:rPr>
        <w:t>蒙特梭利幼儿实训室、</w:t>
      </w:r>
      <w:r>
        <w:rPr>
          <w:rFonts w:hint="eastAsia" w:ascii="宋体" w:eastAsia="宋体"/>
          <w:color w:val="000000" w:themeColor="text1"/>
          <w:position w:val="0"/>
          <w:sz w:val="28"/>
          <w:szCs w:val="28"/>
          <w:shd w:val="clear" w:color="000000" w:fill="FFFFFF"/>
          <w:lang w:eastAsia="zh-CN"/>
        </w:rPr>
        <w:t>航空无人机</w:t>
      </w:r>
      <w:r>
        <w:rPr>
          <w:rFonts w:hint="default" w:ascii="宋体" w:hAnsi="Times New Roman" w:eastAsia="Times New Roman"/>
          <w:color w:val="000000" w:themeColor="text1"/>
          <w:position w:val="0"/>
          <w:sz w:val="28"/>
          <w:szCs w:val="28"/>
          <w:shd w:val="clear" w:color="000000" w:fill="FFFFFF"/>
        </w:rPr>
        <w:t>实训</w:t>
      </w:r>
      <w:r>
        <w:rPr>
          <w:rFonts w:hint="eastAsia" w:ascii="宋体" w:eastAsia="宋体"/>
          <w:color w:val="000000" w:themeColor="text1"/>
          <w:position w:val="0"/>
          <w:sz w:val="28"/>
          <w:szCs w:val="28"/>
          <w:shd w:val="clear" w:color="000000" w:fill="FFFFFF"/>
          <w:lang w:eastAsia="zh-CN"/>
        </w:rPr>
        <w:t>专业实训、</w:t>
      </w:r>
      <w:r>
        <w:rPr>
          <w:rFonts w:hint="default" w:ascii="宋体" w:hAnsi="Times New Roman" w:eastAsia="Times New Roman"/>
          <w:color w:val="000000" w:themeColor="text1"/>
          <w:position w:val="0"/>
          <w:sz w:val="28"/>
          <w:szCs w:val="28"/>
          <w:shd w:val="clear" w:color="000000" w:fill="FFFFFF"/>
        </w:rPr>
        <w:t>汽车运用专业</w:t>
      </w:r>
      <w:r>
        <w:rPr>
          <w:rFonts w:hint="eastAsia" w:ascii="宋体" w:eastAsia="宋体"/>
          <w:color w:val="000000" w:themeColor="text1"/>
          <w:position w:val="0"/>
          <w:sz w:val="28"/>
          <w:szCs w:val="28"/>
          <w:shd w:val="clear" w:color="000000" w:fill="FFFFFF"/>
          <w:lang w:eastAsia="zh-CN"/>
        </w:rPr>
        <w:t>模拟操作</w:t>
      </w:r>
      <w:r>
        <w:rPr>
          <w:rFonts w:hint="default" w:ascii="宋体" w:hAnsi="Times New Roman" w:eastAsia="Times New Roman"/>
          <w:color w:val="000000" w:themeColor="text1"/>
          <w:position w:val="0"/>
          <w:sz w:val="28"/>
          <w:szCs w:val="28"/>
          <w:shd w:val="clear" w:color="000000" w:fill="FFFFFF"/>
        </w:rPr>
        <w:t>实训室</w:t>
      </w:r>
      <w:r>
        <w:rPr>
          <w:rFonts w:hint="eastAsia" w:ascii="宋体" w:eastAsia="宋体"/>
          <w:color w:val="000000" w:themeColor="text1"/>
          <w:position w:val="0"/>
          <w:sz w:val="28"/>
          <w:szCs w:val="28"/>
          <w:shd w:val="clear" w:color="000000" w:fill="FFFFFF"/>
          <w:lang w:eastAsia="zh-CN"/>
        </w:rPr>
        <w:t>、计算机网络实训室</w:t>
      </w:r>
      <w:r>
        <w:rPr>
          <w:rFonts w:hint="default" w:ascii="宋体" w:hAnsi="Times New Roman" w:eastAsia="Times New Roman"/>
          <w:color w:val="000000" w:themeColor="text1"/>
          <w:position w:val="0"/>
          <w:sz w:val="28"/>
          <w:szCs w:val="28"/>
          <w:shd w:val="clear" w:color="000000" w:fill="FFFFFF"/>
        </w:rPr>
        <w:t>实训室的改造和升级</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新建</w:t>
      </w:r>
      <w:r>
        <w:rPr>
          <w:rFonts w:hint="eastAsia" w:ascii="宋体" w:eastAsia="宋体"/>
          <w:color w:val="000000" w:themeColor="text1"/>
          <w:position w:val="0"/>
          <w:sz w:val="28"/>
          <w:szCs w:val="28"/>
          <w:shd w:val="clear" w:color="000000" w:fill="FFFFFF"/>
          <w:lang w:val="en-US" w:eastAsia="zh-CN"/>
        </w:rPr>
        <w:t>美容与形象设计</w:t>
      </w:r>
      <w:r>
        <w:rPr>
          <w:rFonts w:hint="eastAsia" w:ascii="宋体" w:eastAsia="宋体"/>
          <w:color w:val="000000" w:themeColor="text1"/>
          <w:position w:val="0"/>
          <w:sz w:val="28"/>
          <w:szCs w:val="28"/>
          <w:shd w:val="clear" w:color="000000" w:fill="FFFFFF"/>
          <w:lang w:eastAsia="zh-CN"/>
        </w:rPr>
        <w:t>实训</w:t>
      </w:r>
      <w:r>
        <w:rPr>
          <w:rFonts w:hint="default" w:ascii="宋体" w:hAnsi="Times New Roman" w:eastAsia="Times New Roman"/>
          <w:color w:val="000000" w:themeColor="text1"/>
          <w:position w:val="0"/>
          <w:sz w:val="28"/>
          <w:szCs w:val="28"/>
          <w:shd w:val="clear" w:color="000000" w:fill="FFFFFF"/>
        </w:rPr>
        <w:t>建设。</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w:t>
      </w:r>
      <w:r>
        <w:rPr>
          <w:rFonts w:hint="eastAsia" w:ascii="宋体" w:eastAsia="宋体"/>
          <w:color w:val="000000" w:themeColor="text1"/>
          <w:position w:val="0"/>
          <w:sz w:val="28"/>
          <w:szCs w:val="28"/>
          <w:shd w:val="clear" w:color="000000" w:fill="FFFFFF"/>
          <w:lang w:val="en-US" w:eastAsia="zh-CN"/>
        </w:rPr>
        <w:t>20</w:t>
      </w:r>
      <w:r>
        <w:rPr>
          <w:rFonts w:hint="eastAsia" w:ascii="宋体" w:eastAsia="宋体"/>
          <w:color w:val="000000" w:themeColor="text1"/>
          <w:position w:val="0"/>
          <w:sz w:val="28"/>
          <w:szCs w:val="28"/>
          <w:shd w:val="clear" w:color="000000" w:fill="FFFFFF"/>
          <w:lang w:eastAsia="zh-CN"/>
        </w:rPr>
        <w:t>年</w:t>
      </w:r>
      <w:r>
        <w:rPr>
          <w:rFonts w:hint="default" w:ascii="宋体" w:hAnsi="Times New Roman" w:eastAsia="Times New Roman"/>
          <w:color w:val="000000" w:themeColor="text1"/>
          <w:position w:val="0"/>
          <w:sz w:val="28"/>
          <w:szCs w:val="28"/>
          <w:shd w:val="clear" w:color="000000" w:fill="FFFFFF"/>
        </w:rPr>
        <w:t>，学校实训设备采购预算</w:t>
      </w:r>
      <w:r>
        <w:rPr>
          <w:rFonts w:hint="eastAsia" w:ascii="宋体" w:eastAsia="宋体"/>
          <w:color w:val="000000" w:themeColor="text1"/>
          <w:position w:val="0"/>
          <w:sz w:val="28"/>
          <w:szCs w:val="28"/>
          <w:shd w:val="clear" w:color="000000" w:fill="FFFFFF"/>
          <w:lang w:val="en-US" w:eastAsia="zh-CN"/>
        </w:rPr>
        <w:t>465.6</w:t>
      </w:r>
      <w:r>
        <w:rPr>
          <w:rFonts w:hint="default" w:ascii="宋体" w:hAnsi="Times New Roman" w:eastAsia="Times New Roman"/>
          <w:color w:val="000000" w:themeColor="text1"/>
          <w:position w:val="0"/>
          <w:sz w:val="28"/>
          <w:szCs w:val="28"/>
          <w:shd w:val="clear" w:color="000000" w:fill="FFFFFF"/>
        </w:rPr>
        <w:t>万元（上年数据为</w:t>
      </w:r>
      <w:r>
        <w:rPr>
          <w:rFonts w:hint="eastAsia" w:ascii="宋体" w:eastAsia="宋体"/>
          <w:color w:val="000000" w:themeColor="text1"/>
          <w:position w:val="0"/>
          <w:sz w:val="28"/>
          <w:szCs w:val="28"/>
          <w:shd w:val="clear" w:color="000000" w:fill="FFFFFF"/>
          <w:lang w:val="en-US" w:eastAsia="zh-CN"/>
        </w:rPr>
        <w:t>452</w:t>
      </w:r>
      <w:r>
        <w:rPr>
          <w:rFonts w:hint="default" w:ascii="宋体" w:hAnsi="Times New Roman" w:eastAsia="Times New Roman"/>
          <w:color w:val="000000" w:themeColor="text1"/>
          <w:position w:val="0"/>
          <w:sz w:val="28"/>
          <w:szCs w:val="28"/>
          <w:shd w:val="clear" w:color="000000" w:fill="FFFFFF"/>
        </w:rPr>
        <w:t>万元），这将有效提升学校的实训室建设水平，为专业发展和人才培养提供了良好条件。</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截止</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12月，全校固定资产总值</w:t>
      </w:r>
      <w:r>
        <w:rPr>
          <w:rFonts w:hint="eastAsia" w:ascii="宋体" w:eastAsia="宋体"/>
          <w:color w:val="000000" w:themeColor="text1"/>
          <w:position w:val="0"/>
          <w:sz w:val="28"/>
          <w:szCs w:val="28"/>
          <w:shd w:val="clear" w:color="000000" w:fill="FFFFFF"/>
          <w:lang w:val="en-US" w:eastAsia="zh-CN"/>
        </w:rPr>
        <w:t>11184</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万元，其中教学设备资产量</w:t>
      </w:r>
      <w:r>
        <w:rPr>
          <w:rFonts w:hint="eastAsia" w:ascii="宋体" w:eastAsia="宋体"/>
          <w:color w:val="000000" w:themeColor="text1"/>
          <w:position w:val="0"/>
          <w:sz w:val="28"/>
          <w:szCs w:val="28"/>
          <w:shd w:val="clear" w:color="000000" w:fill="FFFFFF"/>
          <w:lang w:val="en-US" w:eastAsia="zh-CN"/>
        </w:rPr>
        <w:t>2722</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万元，实训设备资产量</w:t>
      </w:r>
      <w:r>
        <w:rPr>
          <w:rFonts w:hint="eastAsia" w:ascii="宋体" w:eastAsia="宋体"/>
          <w:color w:val="000000" w:themeColor="text1"/>
          <w:position w:val="0"/>
          <w:sz w:val="28"/>
          <w:szCs w:val="28"/>
          <w:shd w:val="clear" w:color="000000" w:fill="FFFFFF"/>
          <w:lang w:val="en-US" w:eastAsia="zh-CN"/>
        </w:rPr>
        <w:t>3213</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万元，生均教学仪器设备值1.</w:t>
      </w:r>
      <w:r>
        <w:rPr>
          <w:rFonts w:hint="eastAsia" w:ascii="宋体" w:eastAsia="宋体"/>
          <w:color w:val="000000" w:themeColor="text1"/>
          <w:position w:val="0"/>
          <w:sz w:val="28"/>
          <w:szCs w:val="28"/>
          <w:shd w:val="clear" w:color="000000" w:fill="FFFFFF"/>
          <w:lang w:val="en-US" w:eastAsia="zh-CN"/>
        </w:rPr>
        <w:t>90</w:t>
      </w:r>
      <w:r>
        <w:rPr>
          <w:rFonts w:hint="default" w:ascii="宋体" w:hAnsi="Times New Roman" w:eastAsia="Times New Roman"/>
          <w:color w:val="000000" w:themeColor="text1"/>
          <w:position w:val="0"/>
          <w:sz w:val="28"/>
          <w:szCs w:val="28"/>
          <w:shd w:val="clear" w:color="000000" w:fill="FFFFFF"/>
        </w:rPr>
        <w:t>万元。生均实训实习工位数0.</w:t>
      </w:r>
      <w:r>
        <w:rPr>
          <w:rFonts w:hint="eastAsia" w:ascii="宋体" w:eastAsia="宋体"/>
          <w:color w:val="000000" w:themeColor="text1"/>
          <w:position w:val="0"/>
          <w:sz w:val="28"/>
          <w:szCs w:val="28"/>
          <w:shd w:val="clear" w:color="000000" w:fill="FFFFFF"/>
          <w:lang w:val="en-US" w:eastAsia="zh-CN"/>
        </w:rPr>
        <w:t>51</w:t>
      </w:r>
      <w:r>
        <w:rPr>
          <w:rFonts w:hint="default" w:ascii="宋体" w:hAnsi="Times New Roman" w:eastAsia="Times New Roman"/>
          <w:color w:val="000000" w:themeColor="text1"/>
          <w:position w:val="0"/>
          <w:sz w:val="28"/>
          <w:szCs w:val="28"/>
          <w:shd w:val="clear" w:color="000000" w:fill="FFFFFF"/>
        </w:rPr>
        <w:t>。纸质图书数量</w:t>
      </w:r>
      <w:r>
        <w:rPr>
          <w:rFonts w:hint="eastAsia" w:ascii="宋体" w:eastAsia="宋体"/>
          <w:color w:val="000000" w:themeColor="text1"/>
          <w:position w:val="0"/>
          <w:sz w:val="28"/>
          <w:szCs w:val="28"/>
          <w:shd w:val="clear" w:color="000000" w:fill="FFFFFF"/>
          <w:lang w:val="en-US" w:eastAsia="zh-CN"/>
        </w:rPr>
        <w:t>95675</w:t>
      </w:r>
      <w:r>
        <w:rPr>
          <w:rFonts w:hint="default" w:ascii="宋体" w:hAnsi="Times New Roman" w:eastAsia="Times New Roman"/>
          <w:color w:val="000000" w:themeColor="text1"/>
          <w:position w:val="0"/>
          <w:sz w:val="28"/>
          <w:szCs w:val="28"/>
          <w:shd w:val="clear" w:color="000000" w:fill="FFFFFF"/>
        </w:rPr>
        <w:t>册，新增图书</w:t>
      </w:r>
      <w:r>
        <w:rPr>
          <w:rFonts w:hint="eastAsia" w:ascii="宋体" w:eastAsia="宋体"/>
          <w:color w:val="000000" w:themeColor="text1"/>
          <w:position w:val="0"/>
          <w:sz w:val="28"/>
          <w:szCs w:val="28"/>
          <w:shd w:val="clear" w:color="000000" w:fill="FFFFFF"/>
          <w:lang w:val="en-US" w:eastAsia="zh-CN"/>
        </w:rPr>
        <w:t>1341</w:t>
      </w:r>
      <w:r>
        <w:rPr>
          <w:rFonts w:hint="default" w:ascii="宋体" w:hAnsi="Times New Roman" w:eastAsia="Times New Roman"/>
          <w:color w:val="000000" w:themeColor="text1"/>
          <w:position w:val="0"/>
          <w:sz w:val="28"/>
          <w:szCs w:val="28"/>
          <w:shd w:val="clear" w:color="000000" w:fill="FFFFFF"/>
        </w:rPr>
        <w:t>册，生均纸质图书</w:t>
      </w:r>
      <w:r>
        <w:rPr>
          <w:rFonts w:hint="eastAsia" w:ascii="宋体" w:eastAsia="宋体"/>
          <w:color w:val="000000" w:themeColor="text1"/>
          <w:position w:val="0"/>
          <w:sz w:val="28"/>
          <w:szCs w:val="28"/>
          <w:shd w:val="clear" w:color="000000" w:fill="FFFFFF"/>
          <w:lang w:val="en-US" w:eastAsia="zh-CN"/>
        </w:rPr>
        <w:t>59</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2</w:t>
      </w:r>
      <w:r>
        <w:rPr>
          <w:rFonts w:hint="default" w:ascii="宋体" w:hAnsi="Times New Roman" w:eastAsia="Times New Roman"/>
          <w:color w:val="000000" w:themeColor="text1"/>
          <w:position w:val="0"/>
          <w:sz w:val="28"/>
          <w:szCs w:val="28"/>
          <w:shd w:val="clear" w:color="000000" w:fill="FFFFFF"/>
        </w:rPr>
        <w:t>册。</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　　2.学生发展</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2.1学生素质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val="en-US" w:eastAsia="zh-CN"/>
        </w:rPr>
        <w:t>我</w:t>
      </w:r>
      <w:r>
        <w:rPr>
          <w:rFonts w:hint="default" w:ascii="宋体" w:hAnsi="Times New Roman" w:eastAsia="Times New Roman"/>
          <w:color w:val="000000" w:themeColor="text1"/>
          <w:position w:val="0"/>
          <w:sz w:val="28"/>
          <w:szCs w:val="28"/>
          <w:shd w:val="clear" w:color="000000" w:fill="FFFFFF"/>
        </w:rPr>
        <w:t>校学生由于受到特殊的</w:t>
      </w:r>
      <w:r>
        <w:rPr>
          <w:rFonts w:hint="eastAsia" w:ascii="宋体" w:eastAsia="宋体"/>
          <w:color w:val="000000" w:themeColor="text1"/>
          <w:position w:val="0"/>
          <w:sz w:val="28"/>
          <w:szCs w:val="28"/>
          <w:shd w:val="clear" w:color="000000" w:fill="FFFFFF"/>
          <w:lang w:val="en-US" w:eastAsia="zh-CN"/>
        </w:rPr>
        <w:t>成长</w:t>
      </w:r>
      <w:r>
        <w:rPr>
          <w:rFonts w:hint="default" w:ascii="宋体" w:hAnsi="Times New Roman" w:eastAsia="Times New Roman"/>
          <w:color w:val="000000" w:themeColor="text1"/>
          <w:position w:val="0"/>
          <w:sz w:val="28"/>
          <w:szCs w:val="28"/>
          <w:shd w:val="clear" w:color="000000" w:fill="FFFFFF"/>
        </w:rPr>
        <w:t>环境影响和面临就业的现实情况，除了具备普通高中思想特点以外，还具有自身的特点。绝大多数学生通过参加爱国主义、社会主义思想教育等一系列主题教育活动，以及一些社会实践活动，思想逐步趋于成熟。大多数学生已有一定的理想和信念，他们的正确人生观正在逐步形成，个人的自我价值取向正在向如何适应社会主义市场经济的需求转变，重新树立</w:t>
      </w:r>
      <w:r>
        <w:rPr>
          <w:rFonts w:hint="eastAsia" w:ascii="宋体" w:eastAsia="宋体"/>
          <w:color w:val="000000" w:themeColor="text1"/>
          <w:position w:val="0"/>
          <w:sz w:val="28"/>
          <w:szCs w:val="28"/>
          <w:shd w:val="clear" w:color="000000" w:fill="FFFFFF"/>
          <w:lang w:val="en-US" w:eastAsia="zh-CN"/>
        </w:rPr>
        <w:t>新时代</w:t>
      </w:r>
      <w:r>
        <w:rPr>
          <w:rFonts w:hint="default" w:ascii="宋体" w:hAnsi="Times New Roman" w:eastAsia="Times New Roman"/>
          <w:color w:val="000000" w:themeColor="text1"/>
          <w:position w:val="0"/>
          <w:sz w:val="28"/>
          <w:szCs w:val="28"/>
          <w:shd w:val="clear" w:color="000000" w:fill="FFFFFF"/>
        </w:rPr>
        <w:t>青年形象的风气正在校园形成。</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我校为学生搭建了升学、就业、创业的成才立交桥，实现了让每一位走进校门的学生“升学有门、就业有路、创业有方”的人才培养目标。截止</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9月，在校学生文化课合格率9</w:t>
      </w:r>
      <w:r>
        <w:rPr>
          <w:rFonts w:hint="eastAsia" w:ascii="宋体" w:eastAsia="宋体"/>
          <w:color w:val="000000" w:themeColor="text1"/>
          <w:position w:val="0"/>
          <w:sz w:val="28"/>
          <w:szCs w:val="28"/>
          <w:shd w:val="clear" w:color="000000" w:fill="FFFFFF"/>
          <w:lang w:val="en-US" w:eastAsia="zh-CN"/>
        </w:rPr>
        <w:t>9.2</w:t>
      </w:r>
      <w:r>
        <w:rPr>
          <w:rFonts w:hint="default" w:ascii="宋体" w:hAnsi="Times New Roman" w:eastAsia="Times New Roman"/>
          <w:color w:val="000000" w:themeColor="text1"/>
          <w:position w:val="0"/>
          <w:sz w:val="28"/>
          <w:szCs w:val="28"/>
          <w:shd w:val="clear" w:color="000000" w:fill="FFFFFF"/>
        </w:rPr>
        <w:t>%，专业技能合格率9</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%，体质测评合格率9</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%，毕业</w:t>
      </w:r>
      <w:r>
        <w:rPr>
          <w:rFonts w:hint="eastAsia" w:ascii="宋体" w:eastAsia="宋体"/>
          <w:color w:val="000000" w:themeColor="text1"/>
          <w:position w:val="0"/>
          <w:sz w:val="28"/>
          <w:szCs w:val="28"/>
          <w:shd w:val="clear" w:color="000000" w:fill="FFFFFF"/>
          <w:lang w:val="en-US" w:eastAsia="zh-CN"/>
        </w:rPr>
        <w:t>升学</w:t>
      </w:r>
      <w:r>
        <w:rPr>
          <w:rFonts w:hint="default" w:ascii="宋体" w:hAnsi="Times New Roman" w:eastAsia="Times New Roman"/>
          <w:color w:val="000000" w:themeColor="text1"/>
          <w:position w:val="0"/>
          <w:sz w:val="28"/>
          <w:szCs w:val="28"/>
          <w:shd w:val="clear" w:color="000000" w:fill="FFFFFF"/>
        </w:rPr>
        <w:t>率100%。</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811"/>
        <w:jc w:val="both"/>
        <w:textAlignment w:val="auto"/>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表四：学生各方面测评合格率</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drawing>
          <wp:inline distT="0" distB="0" distL="0" distR="0">
            <wp:extent cx="6021705" cy="1747520"/>
            <wp:effectExtent l="4445" t="4445" r="12700" b="19685"/>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2.2在校体验</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w:t>
      </w:r>
      <w:r>
        <w:rPr>
          <w:rFonts w:hint="eastAsia" w:ascii="宋体" w:eastAsia="宋体"/>
          <w:color w:val="000000" w:themeColor="text1"/>
          <w:position w:val="0"/>
          <w:sz w:val="28"/>
          <w:szCs w:val="28"/>
          <w:shd w:val="clear" w:color="000000" w:fill="FFFFFF"/>
          <w:lang w:val="en-US" w:eastAsia="zh-CN"/>
        </w:rPr>
        <w:t>不断</w:t>
      </w:r>
      <w:r>
        <w:rPr>
          <w:rFonts w:hint="default" w:ascii="宋体" w:hAnsi="Times New Roman" w:eastAsia="Times New Roman"/>
          <w:color w:val="000000" w:themeColor="text1"/>
          <w:position w:val="0"/>
          <w:sz w:val="28"/>
          <w:szCs w:val="28"/>
          <w:shd w:val="clear" w:color="000000" w:fill="FFFFFF"/>
        </w:rPr>
        <w:t>创设优美的校园环境、优质的实训条件和丰富的校园文化生活，使得在校学生开心、家长放心，学生在校体验满意度较高。</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充分利用主题班会、黑板报、教室和校园广播等教育渠道，采取多种形式进行相关法律知识的普及，教育学生学会用法律规范自己的言行，用法律保障自己的合法权益。学校设立心理咨询室，解答学生的心理困惑和心理问题，通过德育课程、主题班会教育，引导中学生摆正心态，与人为善，接受他人，不孤立自己，教育学生自尊、自爱、自强，同时也要宽容、体谅、理解他人。</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学校在1</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月</w:t>
      </w:r>
      <w:r>
        <w:rPr>
          <w:rFonts w:hint="eastAsia" w:ascii="宋体" w:eastAsia="宋体"/>
          <w:color w:val="000000" w:themeColor="text1"/>
          <w:position w:val="0"/>
          <w:sz w:val="28"/>
          <w:szCs w:val="28"/>
          <w:shd w:val="clear" w:color="000000" w:fill="FFFFFF"/>
          <w:lang w:val="en-US" w:eastAsia="zh-CN"/>
        </w:rPr>
        <w:t>下</w:t>
      </w:r>
      <w:r>
        <w:rPr>
          <w:rFonts w:hint="default" w:ascii="宋体" w:hAnsi="Times New Roman" w:eastAsia="Times New Roman"/>
          <w:color w:val="000000" w:themeColor="text1"/>
          <w:position w:val="0"/>
          <w:sz w:val="28"/>
          <w:szCs w:val="28"/>
          <w:shd w:val="clear" w:color="000000" w:fill="FFFFFF"/>
        </w:rPr>
        <w:t>旬采用问卷调查的形式，对在校学生开展了无记名问卷调查，收到有效问卷1</w:t>
      </w:r>
      <w:r>
        <w:rPr>
          <w:rFonts w:hint="eastAsia" w:ascii="宋体" w:eastAsia="宋体"/>
          <w:color w:val="000000" w:themeColor="text1"/>
          <w:position w:val="0"/>
          <w:sz w:val="28"/>
          <w:szCs w:val="28"/>
          <w:shd w:val="clear" w:color="000000" w:fill="FFFFFF"/>
          <w:lang w:val="en-US" w:eastAsia="zh-CN"/>
        </w:rPr>
        <w:t>023</w:t>
      </w:r>
      <w:r>
        <w:rPr>
          <w:rFonts w:hint="default" w:ascii="宋体" w:hAnsi="Times New Roman" w:eastAsia="Times New Roman"/>
          <w:color w:val="000000" w:themeColor="text1"/>
          <w:position w:val="0"/>
          <w:sz w:val="28"/>
          <w:szCs w:val="28"/>
          <w:shd w:val="clear" w:color="000000" w:fill="FFFFFF"/>
        </w:rPr>
        <w:t>份，结果如下：学生在校理论学习满意度</w:t>
      </w:r>
      <w:r>
        <w:rPr>
          <w:rFonts w:hint="eastAsia" w:ascii="宋体" w:eastAsia="宋体"/>
          <w:color w:val="000000" w:themeColor="text1"/>
          <w:position w:val="0"/>
          <w:sz w:val="28"/>
          <w:szCs w:val="28"/>
          <w:shd w:val="clear" w:color="000000" w:fill="FFFFFF"/>
          <w:lang w:val="en-US" w:eastAsia="zh-CN"/>
        </w:rPr>
        <w:t>90</w:t>
      </w:r>
      <w:r>
        <w:rPr>
          <w:rFonts w:hint="default" w:ascii="宋体" w:hAnsi="Times New Roman" w:eastAsia="Times New Roman"/>
          <w:color w:val="000000" w:themeColor="text1"/>
          <w:position w:val="0"/>
          <w:sz w:val="28"/>
          <w:szCs w:val="28"/>
          <w:shd w:val="clear" w:color="000000" w:fill="FFFFFF"/>
        </w:rPr>
        <w:t>%、专业学习满意度</w:t>
      </w:r>
      <w:r>
        <w:rPr>
          <w:rFonts w:hint="eastAsia" w:ascii="宋体" w:eastAsia="宋体"/>
          <w:color w:val="000000" w:themeColor="text1"/>
          <w:position w:val="0"/>
          <w:sz w:val="28"/>
          <w:szCs w:val="28"/>
          <w:shd w:val="clear" w:color="000000" w:fill="FFFFFF"/>
          <w:lang w:val="en-US" w:eastAsia="zh-CN"/>
        </w:rPr>
        <w:t>98</w:t>
      </w:r>
      <w:r>
        <w:rPr>
          <w:rFonts w:hint="default" w:ascii="宋体" w:hAnsi="Times New Roman" w:eastAsia="Times New Roman"/>
          <w:color w:val="000000" w:themeColor="text1"/>
          <w:position w:val="0"/>
          <w:sz w:val="28"/>
          <w:szCs w:val="28"/>
          <w:shd w:val="clear" w:color="000000" w:fill="FFFFFF"/>
        </w:rPr>
        <w:t>%、实习实训满意度</w:t>
      </w:r>
      <w:r>
        <w:rPr>
          <w:rFonts w:hint="eastAsia" w:ascii="宋体" w:eastAsia="宋体"/>
          <w:color w:val="000000" w:themeColor="text1"/>
          <w:position w:val="0"/>
          <w:sz w:val="28"/>
          <w:szCs w:val="28"/>
          <w:shd w:val="clear" w:color="000000" w:fill="FFFFFF"/>
          <w:lang w:val="en-US" w:eastAsia="zh-CN"/>
        </w:rPr>
        <w:t>89</w:t>
      </w:r>
      <w:r>
        <w:rPr>
          <w:rFonts w:hint="default" w:ascii="宋体" w:hAnsi="Times New Roman" w:eastAsia="Times New Roman"/>
          <w:color w:val="000000" w:themeColor="text1"/>
          <w:position w:val="0"/>
          <w:sz w:val="28"/>
          <w:szCs w:val="28"/>
          <w:shd w:val="clear" w:color="000000" w:fill="FFFFFF"/>
        </w:rPr>
        <w:t>%、校园文化与社团活动满意度</w:t>
      </w:r>
      <w:r>
        <w:rPr>
          <w:rFonts w:hint="eastAsia" w:ascii="宋体" w:eastAsia="宋体"/>
          <w:color w:val="000000" w:themeColor="text1"/>
          <w:position w:val="0"/>
          <w:sz w:val="28"/>
          <w:szCs w:val="28"/>
          <w:shd w:val="clear" w:color="000000" w:fill="FFFFFF"/>
          <w:lang w:val="en-US" w:eastAsia="zh-CN"/>
        </w:rPr>
        <w:t>97.1</w:t>
      </w:r>
      <w:r>
        <w:rPr>
          <w:rFonts w:hint="default" w:ascii="宋体" w:hAnsi="Times New Roman" w:eastAsia="Times New Roman"/>
          <w:color w:val="000000" w:themeColor="text1"/>
          <w:position w:val="0"/>
          <w:sz w:val="28"/>
          <w:szCs w:val="28"/>
          <w:shd w:val="clear" w:color="000000" w:fill="FFFFFF"/>
        </w:rPr>
        <w:t>%、生活满意度</w:t>
      </w:r>
      <w:r>
        <w:rPr>
          <w:rFonts w:hint="eastAsia" w:ascii="宋体" w:eastAsia="宋体"/>
          <w:color w:val="000000" w:themeColor="text1"/>
          <w:position w:val="0"/>
          <w:sz w:val="28"/>
          <w:szCs w:val="28"/>
          <w:shd w:val="clear" w:color="000000" w:fill="FFFFFF"/>
          <w:lang w:val="en-US" w:eastAsia="zh-CN"/>
        </w:rPr>
        <w:t>87.1</w:t>
      </w:r>
      <w:r>
        <w:rPr>
          <w:rFonts w:hint="default" w:ascii="宋体" w:hAnsi="Times New Roman" w:eastAsia="Times New Roman"/>
          <w:color w:val="000000" w:themeColor="text1"/>
          <w:position w:val="0"/>
          <w:sz w:val="28"/>
          <w:szCs w:val="28"/>
          <w:shd w:val="clear" w:color="000000" w:fill="FFFFFF"/>
        </w:rPr>
        <w:t>%、校园安全满意度</w:t>
      </w:r>
      <w:r>
        <w:rPr>
          <w:rFonts w:hint="eastAsia" w:ascii="宋体" w:eastAsia="宋体"/>
          <w:color w:val="000000" w:themeColor="text1"/>
          <w:position w:val="0"/>
          <w:sz w:val="28"/>
          <w:szCs w:val="28"/>
          <w:shd w:val="clear" w:color="000000" w:fill="FFFFFF"/>
          <w:lang w:val="en-US" w:eastAsia="zh-CN"/>
        </w:rPr>
        <w:t>95.8</w:t>
      </w:r>
      <w:r>
        <w:rPr>
          <w:rFonts w:hint="default" w:ascii="宋体" w:hAnsi="Times New Roman" w:eastAsia="Times New Roman"/>
          <w:color w:val="000000" w:themeColor="text1"/>
          <w:position w:val="0"/>
          <w:sz w:val="28"/>
          <w:szCs w:val="28"/>
          <w:shd w:val="clear" w:color="000000" w:fill="FFFFFF"/>
        </w:rPr>
        <w:t>%、毕业生对学校满意度</w:t>
      </w:r>
      <w:r>
        <w:rPr>
          <w:rFonts w:hint="eastAsia" w:ascii="宋体" w:eastAsia="宋体"/>
          <w:color w:val="000000" w:themeColor="text1"/>
          <w:position w:val="0"/>
          <w:sz w:val="28"/>
          <w:szCs w:val="28"/>
          <w:shd w:val="clear" w:color="000000" w:fill="FFFFFF"/>
          <w:lang w:val="en-US" w:eastAsia="zh-CN"/>
        </w:rPr>
        <w:t>96.4</w:t>
      </w:r>
      <w:r>
        <w:rPr>
          <w:rFonts w:hint="default" w:ascii="宋体" w:hAnsi="Times New Roman" w:eastAsia="Times New Roman"/>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2.3资助情况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资助工作涉及学生和家长切身利益，为了确保国家的资助政策家喻户晓，学校资助办、学生处通过班级公告栏、校园广播和黑板报等宣传阵地加大对学生资助政策的宣传力度。加强家校联系，让家长了解党和国家的助学政策，通过家长有效监控学生助学金的使用，防止学生把助学金挪作他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2.4就业质量</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21</w:t>
      </w:r>
      <w:r>
        <w:rPr>
          <w:rFonts w:hint="default" w:ascii="宋体" w:hAnsi="Times New Roman" w:eastAsia="Times New Roman"/>
          <w:color w:val="000000" w:themeColor="text1"/>
          <w:position w:val="0"/>
          <w:sz w:val="28"/>
          <w:szCs w:val="28"/>
          <w:shd w:val="clear" w:color="000000" w:fill="FFFFFF"/>
        </w:rPr>
        <w:t>届学校共有毕业生</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人，就业</w:t>
      </w:r>
      <w:r>
        <w:rPr>
          <w:rFonts w:hint="eastAsia" w:ascii="宋体" w:eastAsia="宋体"/>
          <w:color w:val="000000" w:themeColor="text1"/>
          <w:position w:val="0"/>
          <w:sz w:val="28"/>
          <w:szCs w:val="28"/>
          <w:shd w:val="clear" w:color="000000" w:fill="FFFFFF"/>
          <w:lang w:eastAsia="zh-CN"/>
        </w:rPr>
        <w:t>及升学</w:t>
      </w:r>
      <w:r>
        <w:rPr>
          <w:rFonts w:hint="default" w:ascii="宋体" w:hAnsi="Times New Roman" w:eastAsia="Times New Roman"/>
          <w:color w:val="000000" w:themeColor="text1"/>
          <w:position w:val="0"/>
          <w:sz w:val="28"/>
          <w:szCs w:val="28"/>
          <w:shd w:val="clear" w:color="000000" w:fill="FFFFFF"/>
        </w:rPr>
        <w:t>人数</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人，就业升学率为100%。</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2.4.1升学情况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21</w:t>
      </w:r>
      <w:r>
        <w:rPr>
          <w:rFonts w:hint="default" w:ascii="宋体" w:hAnsi="Times New Roman" w:eastAsia="Times New Roman"/>
          <w:color w:val="000000" w:themeColor="text1"/>
          <w:position w:val="0"/>
          <w:sz w:val="28"/>
          <w:szCs w:val="28"/>
          <w:shd w:val="clear" w:color="000000" w:fill="FFFFFF"/>
        </w:rPr>
        <w:t>届毕业生人数</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人，学校未开展高职对口录取考试，组织</w:t>
      </w:r>
      <w:r>
        <w:rPr>
          <w:rFonts w:hint="eastAsia" w:ascii="宋体" w:eastAsia="宋体"/>
          <w:color w:val="000000" w:themeColor="text1"/>
          <w:position w:val="0"/>
          <w:sz w:val="28"/>
          <w:szCs w:val="28"/>
          <w:shd w:val="clear" w:color="000000" w:fill="FFFFFF"/>
          <w:lang w:val="en-US" w:eastAsia="zh-CN"/>
        </w:rPr>
        <w:t>411</w:t>
      </w:r>
      <w:r>
        <w:rPr>
          <w:rFonts w:hint="default" w:ascii="宋体" w:hAnsi="Times New Roman" w:eastAsia="Times New Roman"/>
          <w:color w:val="000000" w:themeColor="text1"/>
          <w:position w:val="0"/>
          <w:sz w:val="28"/>
          <w:szCs w:val="28"/>
          <w:shd w:val="clear" w:color="000000" w:fill="FFFFFF"/>
        </w:rPr>
        <w:t>名参加全国成人高考专科录取考试，</w:t>
      </w:r>
      <w:r>
        <w:rPr>
          <w:rFonts w:hint="eastAsia" w:ascii="宋体" w:eastAsia="宋体"/>
          <w:color w:val="000000" w:themeColor="text1"/>
          <w:position w:val="0"/>
          <w:sz w:val="28"/>
          <w:szCs w:val="28"/>
          <w:shd w:val="clear" w:color="000000" w:fill="FFFFFF"/>
          <w:lang w:val="en-US" w:eastAsia="zh-CN"/>
        </w:rPr>
        <w:t>399</w:t>
      </w:r>
      <w:r>
        <w:rPr>
          <w:rFonts w:hint="default" w:ascii="宋体" w:hAnsi="Times New Roman" w:eastAsia="Times New Roman"/>
          <w:color w:val="000000" w:themeColor="text1"/>
          <w:position w:val="0"/>
          <w:sz w:val="28"/>
          <w:szCs w:val="28"/>
          <w:shd w:val="clear" w:color="000000" w:fill="FFFFFF"/>
        </w:rPr>
        <w:t>人上线，录取率</w:t>
      </w:r>
      <w:r>
        <w:rPr>
          <w:rFonts w:hint="eastAsia" w:ascii="宋体" w:eastAsia="宋体"/>
          <w:color w:val="000000" w:themeColor="text1"/>
          <w:position w:val="0"/>
          <w:sz w:val="28"/>
          <w:szCs w:val="28"/>
          <w:shd w:val="clear" w:color="000000" w:fill="FFFFFF"/>
          <w:lang w:val="en-US" w:eastAsia="zh-CN"/>
        </w:rPr>
        <w:t>97</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2.4.2 直接就业情况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20</w:t>
      </w:r>
      <w:r>
        <w:rPr>
          <w:rFonts w:hint="eastAsia" w:ascii="宋体" w:eastAsia="宋体"/>
          <w:color w:val="000000" w:themeColor="text1"/>
          <w:position w:val="0"/>
          <w:sz w:val="28"/>
          <w:szCs w:val="28"/>
          <w:shd w:val="clear" w:color="000000" w:fill="FFFFFF"/>
          <w:lang w:val="en-US" w:eastAsia="zh-CN"/>
        </w:rPr>
        <w:t>21</w:t>
      </w:r>
      <w:r>
        <w:rPr>
          <w:rFonts w:hint="default" w:ascii="宋体" w:hAnsi="Times New Roman" w:eastAsia="Times New Roman"/>
          <w:color w:val="000000" w:themeColor="text1"/>
          <w:position w:val="0"/>
          <w:sz w:val="28"/>
          <w:szCs w:val="28"/>
          <w:shd w:val="clear" w:color="000000" w:fill="FFFFFF"/>
        </w:rPr>
        <w:t>届毕业生人数</w:t>
      </w:r>
      <w:r>
        <w:rPr>
          <w:rFonts w:hint="eastAsia" w:ascii="宋体" w:eastAsia="宋体"/>
          <w:color w:val="000000" w:themeColor="text1"/>
          <w:position w:val="0"/>
          <w:sz w:val="28"/>
          <w:szCs w:val="28"/>
          <w:shd w:val="clear" w:color="000000" w:fill="FFFFFF"/>
          <w:lang w:val="en-US" w:eastAsia="zh-CN"/>
        </w:rPr>
        <w:t>483</w:t>
      </w:r>
      <w:r>
        <w:rPr>
          <w:rFonts w:hint="default" w:ascii="宋体" w:hAnsi="Times New Roman" w:eastAsia="Times New Roman"/>
          <w:color w:val="000000" w:themeColor="text1"/>
          <w:position w:val="0"/>
          <w:sz w:val="28"/>
          <w:szCs w:val="28"/>
          <w:shd w:val="clear" w:color="000000" w:fill="FFFFFF"/>
        </w:rPr>
        <w:t>人，直接就业人数</w:t>
      </w:r>
      <w:r>
        <w:rPr>
          <w:rFonts w:hint="eastAsia" w:ascii="宋体" w:eastAsia="宋体"/>
          <w:color w:val="000000" w:themeColor="text1"/>
          <w:position w:val="0"/>
          <w:sz w:val="28"/>
          <w:szCs w:val="28"/>
          <w:shd w:val="clear" w:color="000000" w:fill="FFFFFF"/>
          <w:lang w:val="en-US" w:eastAsia="zh-CN"/>
        </w:rPr>
        <w:t>81</w:t>
      </w:r>
      <w:r>
        <w:rPr>
          <w:rFonts w:hint="default" w:ascii="宋体" w:hAnsi="Times New Roman" w:eastAsia="Times New Roman"/>
          <w:color w:val="000000" w:themeColor="text1"/>
          <w:position w:val="0"/>
          <w:sz w:val="28"/>
          <w:szCs w:val="28"/>
          <w:shd w:val="clear" w:color="000000" w:fill="FFFFFF"/>
        </w:rPr>
        <w:t>。其中在各级幼儿园就业</w:t>
      </w:r>
      <w:r>
        <w:rPr>
          <w:rFonts w:hint="eastAsia" w:ascii="宋体" w:eastAsia="宋体"/>
          <w:color w:val="000000" w:themeColor="text1"/>
          <w:position w:val="0"/>
          <w:sz w:val="28"/>
          <w:szCs w:val="28"/>
          <w:shd w:val="clear" w:color="000000" w:fill="FFFFFF"/>
          <w:lang w:val="en-US" w:eastAsia="zh-CN"/>
        </w:rPr>
        <w:t>58</w:t>
      </w:r>
      <w:r>
        <w:rPr>
          <w:rFonts w:hint="default" w:ascii="宋体" w:hAnsi="Times New Roman" w:eastAsia="Times New Roman"/>
          <w:color w:val="000000" w:themeColor="text1"/>
          <w:position w:val="0"/>
          <w:sz w:val="28"/>
          <w:szCs w:val="28"/>
          <w:shd w:val="clear" w:color="000000" w:fill="FFFFFF"/>
        </w:rPr>
        <w:t>人、机关和企事业单位</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人，合法从事个体经营</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人，其他方式</w:t>
      </w:r>
      <w:r>
        <w:rPr>
          <w:rFonts w:hint="eastAsia" w:ascii="宋体" w:eastAsia="宋体"/>
          <w:color w:val="000000" w:themeColor="text1"/>
          <w:position w:val="0"/>
          <w:sz w:val="28"/>
          <w:szCs w:val="28"/>
          <w:shd w:val="clear" w:color="000000" w:fill="FFFFFF"/>
          <w:lang w:val="en-US" w:eastAsia="zh-CN"/>
        </w:rPr>
        <w:t>14</w:t>
      </w:r>
      <w:r>
        <w:rPr>
          <w:rFonts w:hint="default" w:ascii="宋体" w:hAnsi="Times New Roman" w:eastAsia="Times New Roman"/>
          <w:color w:val="000000" w:themeColor="text1"/>
          <w:position w:val="0"/>
          <w:sz w:val="28"/>
          <w:szCs w:val="28"/>
          <w:shd w:val="clear" w:color="000000" w:fill="FFFFFF"/>
        </w:rPr>
        <w:t>人。学生一次就业率为100%，对口就业率9</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2.5职业发展</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2.5.1 加强就业职业发展的“四化”工作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就业办坚持就业工作“以服务为宗旨，以促进就业为导向”的基本原则，紧紧围绕“就业质量”、“对口就业率”等中心问题开展工作，坚持“巩固、提高、指导、拓宽”的思路，加强就业工作指导专业化、推荐系统化、管理服务化、职教扶贫常规化。长期以来，学校根据成都的社会经济发展状况及学生志愿，积极为学生的就业或创业提供指导和推荐，不断加强学生创业教育，着力培养学生的创业意识和创业能力，真正体现“就业有优势，创业有基础”。</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2.5.2 帮助学生精选就业岗位并加强就业推荐力度</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为了进一步提高毕业生就业质量，学校就业指导部门对学生就业岗位进行了精挑细选，层层把关。在“育人为本、学以致用、专业对口、理论与实践相结合”原则的指导下，学校考察了我市数百家幼儿园和企事单位，并最终与成都市市级机关第十一幼儿园、一汽大众住电汽车厂、首都机场</w:t>
      </w:r>
      <w:r>
        <w:rPr>
          <w:rFonts w:hint="eastAsia" w:ascii="宋体" w:eastAsia="宋体"/>
          <w:color w:val="000000" w:themeColor="text1"/>
          <w:position w:val="0"/>
          <w:sz w:val="28"/>
          <w:szCs w:val="28"/>
          <w:shd w:val="clear" w:color="000000" w:fill="FFFFFF"/>
          <w:lang w:eastAsia="zh-CN"/>
        </w:rPr>
        <w:t>、</w:t>
      </w:r>
      <w:r>
        <w:rPr>
          <w:rFonts w:hint="eastAsia" w:ascii="宋体" w:eastAsia="宋体"/>
          <w:color w:val="000000" w:themeColor="text1"/>
          <w:position w:val="0"/>
          <w:sz w:val="28"/>
          <w:szCs w:val="28"/>
          <w:shd w:val="clear" w:color="000000" w:fill="FFFFFF"/>
          <w:lang w:val="en-US" w:eastAsia="zh-CN"/>
        </w:rPr>
        <w:t>成都地铁</w:t>
      </w:r>
      <w:r>
        <w:rPr>
          <w:rFonts w:hint="default" w:ascii="宋体" w:hAnsi="Times New Roman" w:eastAsia="Times New Roman"/>
          <w:color w:val="000000" w:themeColor="text1"/>
          <w:position w:val="0"/>
          <w:sz w:val="28"/>
          <w:szCs w:val="28"/>
          <w:shd w:val="clear" w:color="000000" w:fill="FFFFFF"/>
        </w:rPr>
        <w:t>等多家企业签订了校企合作协议，共同负责学生就业的组织和管理。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b/>
          <w:color w:val="000000"/>
          <w:position w:val="0"/>
          <w:sz w:val="28"/>
          <w:szCs w:val="28"/>
          <w:shd w:val="clear" w:color="000000" w:fill="FFFFFF"/>
        </w:rPr>
        <w:t xml:space="preserve">                表五：学校</w:t>
      </w:r>
      <w:r>
        <w:rPr>
          <w:rFonts w:hint="eastAsia" w:ascii="宋体" w:eastAsia="宋体"/>
          <w:b/>
          <w:color w:val="000000"/>
          <w:position w:val="0"/>
          <w:sz w:val="28"/>
          <w:szCs w:val="28"/>
          <w:shd w:val="clear" w:color="000000" w:fill="FFFFFF"/>
          <w:lang w:eastAsia="zh-CN"/>
        </w:rPr>
        <w:t>2021年</w:t>
      </w:r>
      <w:r>
        <w:rPr>
          <w:rFonts w:hint="default" w:ascii="宋体" w:hAnsi="Times New Roman" w:eastAsia="Times New Roman"/>
          <w:b/>
          <w:color w:val="000000"/>
          <w:position w:val="0"/>
          <w:sz w:val="28"/>
          <w:szCs w:val="28"/>
          <w:shd w:val="clear" w:color="000000" w:fill="FFFFFF"/>
        </w:rPr>
        <w:t>校企合作单位目录（部分）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sz w:val="20"/>
          <w:shd w:val="clear" w:color="auto" w:fill="FFFFFF"/>
        </w:rPr>
        <w:drawing>
          <wp:inline distT="0" distB="0" distL="0" distR="0">
            <wp:extent cx="5833110" cy="2270125"/>
            <wp:effectExtent l="0" t="0" r="15240" b="15875"/>
            <wp:docPr id="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pic:cNvPicPr>
                      <a:picLocks noChangeAspect="1" noChangeArrowheads="1"/>
                    </pic:cNvPicPr>
                  </pic:nvPicPr>
                  <pic:blipFill>
                    <a:blip r:embed="rId8"/>
                    <a:srcRect t="11881"/>
                    <a:stretch>
                      <a:fillRect/>
                    </a:stretch>
                  </pic:blipFill>
                  <pic:spPr>
                    <a:xfrm>
                      <a:off x="0" y="0"/>
                      <a:ext cx="5833745" cy="2270125"/>
                    </a:xfrm>
                    <a:prstGeom prst="rect">
                      <a:avLst/>
                    </a:prstGeom>
                    <a:ln cap="flat"/>
                  </pic:spPr>
                </pic:pic>
              </a:graphicData>
            </a:graphic>
          </wp:inline>
        </w:drawing>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eastAsia" w:ascii="宋体" w:eastAsia="宋体"/>
          <w:color w:val="000000" w:themeColor="text1"/>
          <w:position w:val="0"/>
          <w:sz w:val="28"/>
          <w:szCs w:val="28"/>
          <w:shd w:val="clear" w:color="000000" w:fill="FFFFFF"/>
          <w:lang w:eastAsia="zh-CN"/>
        </w:rPr>
        <w:t>2021年</w:t>
      </w:r>
      <w:r>
        <w:rPr>
          <w:rFonts w:hint="eastAsia" w:ascii="宋体" w:eastAsia="宋体"/>
          <w:color w:val="000000" w:themeColor="text1"/>
          <w:position w:val="0"/>
          <w:sz w:val="28"/>
          <w:szCs w:val="28"/>
          <w:shd w:val="clear" w:color="000000" w:fill="FFFFFF"/>
          <w:lang w:val="en-US" w:eastAsia="zh-CN"/>
        </w:rPr>
        <w:t>11</w:t>
      </w:r>
      <w:r>
        <w:rPr>
          <w:rFonts w:hint="default" w:ascii="宋体" w:hAnsi="Times New Roman" w:eastAsia="Times New Roman"/>
          <w:color w:val="000000" w:themeColor="text1"/>
          <w:position w:val="0"/>
          <w:sz w:val="28"/>
          <w:szCs w:val="28"/>
          <w:shd w:val="clear" w:color="000000" w:fill="FFFFFF"/>
        </w:rPr>
        <w:t>月</w:t>
      </w:r>
      <w:r>
        <w:rPr>
          <w:rFonts w:hint="eastAsia" w:ascii="宋体" w:eastAsia="宋体"/>
          <w:color w:val="000000" w:themeColor="text1"/>
          <w:position w:val="0"/>
          <w:sz w:val="28"/>
          <w:szCs w:val="28"/>
          <w:shd w:val="clear" w:color="000000" w:fill="FFFFFF"/>
          <w:lang w:val="en-US" w:eastAsia="zh-CN"/>
        </w:rPr>
        <w:t>25</w:t>
      </w:r>
      <w:r>
        <w:rPr>
          <w:rFonts w:hint="default" w:ascii="宋体" w:hAnsi="Times New Roman" w:eastAsia="Times New Roman"/>
          <w:color w:val="000000" w:themeColor="text1"/>
          <w:position w:val="0"/>
          <w:sz w:val="28"/>
          <w:szCs w:val="28"/>
          <w:shd w:val="clear" w:color="000000" w:fill="FFFFFF"/>
        </w:rPr>
        <w:t>日组织幼师专业双选会，</w:t>
      </w:r>
      <w:r>
        <w:rPr>
          <w:rFonts w:hint="eastAsia" w:ascii="宋体" w:eastAsia="宋体"/>
          <w:color w:val="000000" w:themeColor="text1"/>
          <w:position w:val="0"/>
          <w:sz w:val="28"/>
          <w:szCs w:val="28"/>
          <w:shd w:val="clear" w:color="000000" w:fill="FFFFFF"/>
          <w:lang w:val="en-US" w:eastAsia="zh-CN"/>
        </w:rPr>
        <w:t>90</w:t>
      </w:r>
      <w:r>
        <w:rPr>
          <w:rFonts w:hint="default" w:ascii="宋体" w:hAnsi="Times New Roman" w:eastAsia="Times New Roman"/>
          <w:color w:val="000000" w:themeColor="text1"/>
          <w:position w:val="0"/>
          <w:sz w:val="28"/>
          <w:szCs w:val="28"/>
          <w:shd w:val="clear" w:color="000000" w:fill="FFFFFF"/>
        </w:rPr>
        <w:t>余家幼儿园和早教机构到校招聘,不到两小时，所有毕业生就被签约抢空。学校与</w:t>
      </w:r>
      <w:r>
        <w:rPr>
          <w:rFonts w:hint="eastAsia" w:ascii="宋体" w:eastAsia="宋体"/>
          <w:color w:val="000000" w:themeColor="text1"/>
          <w:position w:val="0"/>
          <w:sz w:val="28"/>
          <w:szCs w:val="28"/>
          <w:shd w:val="clear" w:color="000000" w:fill="FFFFFF"/>
          <w:lang w:val="en-US" w:eastAsia="zh-CN"/>
        </w:rPr>
        <w:t>四川三亿和</w:t>
      </w:r>
      <w:r>
        <w:rPr>
          <w:rFonts w:hint="default" w:ascii="宋体" w:hAnsi="Times New Roman" w:eastAsia="Times New Roman"/>
          <w:color w:val="000000" w:themeColor="text1"/>
          <w:position w:val="0"/>
          <w:sz w:val="28"/>
          <w:szCs w:val="28"/>
          <w:shd w:val="clear" w:color="000000" w:fill="FFFFFF"/>
        </w:rPr>
        <w:t>人力资源公司、厦门汇星辰人力资源公司联合举办学校专场招聘会，吸引了多家企业进场招聘。招聘会针对学校学生的特点和专业，特设了幼儿教师、保育员、电子信息、计算应用、电子商务、计算机网络技术、动漫设计与制作、建筑装饰与环境艺术、会计、金融事务、汽车服务等各行工种</w:t>
      </w:r>
      <w:r>
        <w:rPr>
          <w:rFonts w:hint="eastAsia" w:ascii="宋体" w:eastAsia="宋体"/>
          <w:color w:val="000000" w:themeColor="text1"/>
          <w:position w:val="0"/>
          <w:sz w:val="28"/>
          <w:szCs w:val="28"/>
          <w:shd w:val="clear" w:color="000000" w:fill="FFFFFF"/>
          <w:lang w:val="en-US" w:eastAsia="zh-CN"/>
        </w:rPr>
        <w:t>100</w:t>
      </w:r>
      <w:r>
        <w:rPr>
          <w:rFonts w:hint="default" w:ascii="宋体" w:hAnsi="Times New Roman" w:eastAsia="Times New Roman"/>
          <w:color w:val="000000" w:themeColor="text1"/>
          <w:position w:val="0"/>
          <w:sz w:val="28"/>
          <w:szCs w:val="28"/>
          <w:shd w:val="clear" w:color="000000" w:fill="FFFFFF"/>
        </w:rPr>
        <w:t>个，提供</w:t>
      </w:r>
      <w:r>
        <w:rPr>
          <w:rFonts w:hint="eastAsia" w:ascii="宋体" w:eastAsia="宋体"/>
          <w:color w:val="000000" w:themeColor="text1"/>
          <w:position w:val="0"/>
          <w:sz w:val="28"/>
          <w:szCs w:val="28"/>
          <w:shd w:val="clear" w:color="000000" w:fill="FFFFFF"/>
          <w:lang w:val="en-US" w:eastAsia="zh-CN"/>
        </w:rPr>
        <w:t>300</w:t>
      </w:r>
      <w:r>
        <w:rPr>
          <w:rFonts w:hint="default" w:ascii="宋体" w:hAnsi="Times New Roman" w:eastAsia="Times New Roman"/>
          <w:color w:val="000000" w:themeColor="text1"/>
          <w:position w:val="0"/>
          <w:sz w:val="28"/>
          <w:szCs w:val="28"/>
          <w:shd w:val="clear" w:color="000000" w:fill="FFFFFF"/>
        </w:rPr>
        <w:t>余个毕业生岗位，学校近</w:t>
      </w:r>
      <w:r>
        <w:rPr>
          <w:rFonts w:hint="eastAsia" w:ascii="宋体" w:eastAsia="宋体"/>
          <w:color w:val="000000" w:themeColor="text1"/>
          <w:position w:val="0"/>
          <w:sz w:val="28"/>
          <w:szCs w:val="28"/>
          <w:shd w:val="clear" w:color="000000" w:fill="FFFFFF"/>
          <w:lang w:val="en-US" w:eastAsia="zh-CN"/>
        </w:rPr>
        <w:t>200</w:t>
      </w:r>
      <w:r>
        <w:rPr>
          <w:rFonts w:hint="default" w:ascii="宋体" w:hAnsi="Times New Roman" w:eastAsia="Times New Roman"/>
          <w:color w:val="000000" w:themeColor="text1"/>
          <w:position w:val="0"/>
          <w:sz w:val="28"/>
          <w:szCs w:val="28"/>
          <w:shd w:val="clear" w:color="000000" w:fill="FFFFFF"/>
        </w:rPr>
        <w:t>名学生参加了双选会。</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2.5.3 探索新的就业职业发展模式</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根据教育部《办公厅关于公布首批现代学徒制试点单位的通知》，学校积极利用各种资源，</w:t>
      </w:r>
      <w:r>
        <w:rPr>
          <w:rFonts w:hint="eastAsia" w:ascii="宋体" w:eastAsia="宋体"/>
          <w:color w:val="000000" w:themeColor="text1"/>
          <w:position w:val="0"/>
          <w:sz w:val="28"/>
          <w:szCs w:val="28"/>
          <w:shd w:val="clear" w:color="000000" w:fill="FFFFFF"/>
          <w:lang w:val="en-US" w:eastAsia="zh-CN"/>
        </w:rPr>
        <w:t>2021年9月继续和顺丰集团四川速运公司联合</w:t>
      </w:r>
      <w:r>
        <w:rPr>
          <w:rFonts w:hint="eastAsia" w:ascii="宋体" w:eastAsia="宋体"/>
          <w:color w:val="000000" w:themeColor="text1"/>
          <w:position w:val="0"/>
          <w:sz w:val="28"/>
          <w:szCs w:val="28"/>
          <w:shd w:val="clear" w:color="000000" w:fill="FFFFFF"/>
          <w:lang w:eastAsia="zh-CN"/>
        </w:rPr>
        <w:t>培养</w:t>
      </w:r>
      <w:r>
        <w:rPr>
          <w:rFonts w:hint="eastAsia" w:ascii="宋体" w:eastAsia="宋体"/>
          <w:color w:val="000000" w:themeColor="text1"/>
          <w:position w:val="0"/>
          <w:sz w:val="28"/>
          <w:szCs w:val="28"/>
          <w:shd w:val="clear" w:color="000000" w:fill="FFFFFF"/>
          <w:lang w:val="en-US" w:eastAsia="zh-CN"/>
        </w:rPr>
        <w:t>物流学员</w:t>
      </w:r>
      <w:r>
        <w:rPr>
          <w:rFonts w:hint="default" w:ascii="宋体" w:hAnsi="Times New Roman" w:eastAsia="Times New Roman"/>
          <w:color w:val="000000" w:themeColor="text1"/>
          <w:position w:val="0"/>
          <w:sz w:val="28"/>
          <w:szCs w:val="28"/>
          <w:shd w:val="clear" w:color="000000" w:fill="FFFFFF"/>
        </w:rPr>
        <w:t>，为学生就业指导及推荐工作提供了一个崭新的思路。</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2.5.4 加强就业及创业指导</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，学校加强了毕业生就业、创业指导课程的教学，确保各项工作顺利推进。就业、创业指导课程分三个部分集中进行：</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一是就学生管理、面试技巧、就业法规政策、就业形势、企业管理制度、人际关系、生产安全教育、诚信教育的多方面内容开设讲座，邀请合作企业资深人力资源专家进行指导；</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二是学校职业指导教师从心理学角度分析不同的求职心态，就求职面试技巧对学生进行了指导；</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三是邀请学校毕业的往届优秀毕业生与大家分享了自己在工作中、生活中的酸甜苦辣，鼓励师弟师妹们勇于担当，尽快适应工作岗位，成就自己的美好人生。通过以上举措，有效解决了学生就业中常见问题，提高学生面试技巧及职业发展能力，为学生融入企业和社会做好准备。</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val="en-US" w:eastAsia="zh-CN"/>
        </w:rPr>
        <w:t>2021年，</w:t>
      </w:r>
      <w:r>
        <w:rPr>
          <w:rFonts w:hint="default" w:ascii="宋体" w:hAnsi="Times New Roman" w:eastAsia="Times New Roman"/>
          <w:color w:val="000000" w:themeColor="text1"/>
          <w:position w:val="0"/>
          <w:sz w:val="28"/>
          <w:szCs w:val="28"/>
          <w:shd w:val="clear" w:color="000000" w:fill="FFFFFF"/>
        </w:rPr>
        <w:t>学校</w:t>
      </w:r>
      <w:r>
        <w:rPr>
          <w:rFonts w:hint="eastAsia" w:ascii="宋体" w:eastAsia="宋体"/>
          <w:color w:val="000000" w:themeColor="text1"/>
          <w:position w:val="0"/>
          <w:sz w:val="28"/>
          <w:szCs w:val="28"/>
          <w:shd w:val="clear" w:color="000000" w:fill="FFFFFF"/>
          <w:lang w:eastAsia="zh-CN"/>
        </w:rPr>
        <w:t>继续</w:t>
      </w:r>
      <w:r>
        <w:rPr>
          <w:rFonts w:hint="default" w:ascii="宋体" w:hAnsi="Times New Roman" w:eastAsia="Times New Roman"/>
          <w:color w:val="000000" w:themeColor="text1"/>
          <w:position w:val="0"/>
          <w:sz w:val="28"/>
          <w:szCs w:val="28"/>
          <w:shd w:val="clear" w:color="000000" w:fill="FFFFFF"/>
        </w:rPr>
        <w:t>与西航港街道劳动保障所、北京华联商厦、四川大学、四川现代职业学院等单位共同举办“创业大讲堂”。创业导师为同学们分析了创业政策及有利条件，引导同学们树立正确的创业观念。“创业大讲堂”同时还带来了近20个创业项目，吸引不少同学的关注，现场同学就部分项目做了咨询。一些同学表示，从学校毕业后，将来也会走上自主创业的道路。</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2.5.5开拓毕业生就业和升学双通道</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解决中职教育面临的教育“终点”的难题，学校积极为就业学生继续教育和终身教育创造条件。</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学校继续与</w:t>
      </w:r>
      <w:r>
        <w:rPr>
          <w:rFonts w:hint="eastAsia" w:ascii="宋体" w:eastAsia="宋体"/>
          <w:color w:val="000000" w:themeColor="text1"/>
          <w:position w:val="0"/>
          <w:sz w:val="28"/>
          <w:szCs w:val="28"/>
          <w:shd w:val="clear" w:color="000000" w:fill="FFFFFF"/>
          <w:lang w:val="en-US" w:eastAsia="zh-CN"/>
        </w:rPr>
        <w:t>西南财经大学、</w:t>
      </w:r>
      <w:r>
        <w:rPr>
          <w:rFonts w:hint="default" w:ascii="宋体" w:hAnsi="Times New Roman" w:eastAsia="Times New Roman"/>
          <w:color w:val="000000" w:themeColor="text1"/>
          <w:position w:val="0"/>
          <w:sz w:val="28"/>
          <w:szCs w:val="28"/>
          <w:shd w:val="clear" w:color="000000" w:fill="FFFFFF"/>
        </w:rPr>
        <w:t>西华师范大学、</w:t>
      </w:r>
      <w:r>
        <w:rPr>
          <w:rFonts w:hint="eastAsia" w:ascii="宋体" w:eastAsia="宋体"/>
          <w:color w:val="000000" w:themeColor="text1"/>
          <w:position w:val="0"/>
          <w:sz w:val="28"/>
          <w:szCs w:val="28"/>
          <w:shd w:val="clear" w:color="000000" w:fill="FFFFFF"/>
          <w:lang w:eastAsia="zh-CN"/>
        </w:rPr>
        <w:t>四川文理学院</w:t>
      </w:r>
      <w:r>
        <w:rPr>
          <w:rFonts w:hint="default" w:ascii="宋体" w:hAnsi="Times New Roman" w:eastAsia="Times New Roman"/>
          <w:color w:val="000000" w:themeColor="text1"/>
          <w:position w:val="0"/>
          <w:sz w:val="28"/>
          <w:szCs w:val="28"/>
          <w:shd w:val="clear" w:color="000000" w:fill="FFFFFF"/>
        </w:rPr>
        <w:t>等多家成教学院开展合作，为毕业生学生开展学历提升专题讲座，鼓励学生踊跃报名参加学历提升再教育。</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2.5.6 通过技能大赛促进学生的职业发展</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学校历年来重视学生参加各级各类职业技能大赛，给学生提供一个展示职业技能的平台，</w:t>
      </w:r>
      <w:r>
        <w:rPr>
          <w:rFonts w:hint="eastAsia" w:ascii="宋体" w:eastAsia="宋体"/>
          <w:color w:val="000000" w:themeColor="text1"/>
          <w:position w:val="0"/>
          <w:sz w:val="28"/>
          <w:szCs w:val="28"/>
          <w:shd w:val="clear" w:color="000000" w:fill="FFFFFF"/>
          <w:lang w:val="en-US" w:eastAsia="zh-CN"/>
        </w:rPr>
        <w:t>一</w:t>
      </w:r>
      <w:r>
        <w:rPr>
          <w:rFonts w:hint="default" w:ascii="宋体" w:hAnsi="Times New Roman" w:eastAsia="Times New Roman"/>
          <w:color w:val="000000" w:themeColor="text1"/>
          <w:position w:val="0"/>
          <w:sz w:val="28"/>
          <w:szCs w:val="28"/>
          <w:shd w:val="clear" w:color="000000" w:fill="FFFFFF"/>
        </w:rPr>
        <w:t>年来共获得省、市、区技能大赛奖项</w:t>
      </w:r>
      <w:r>
        <w:rPr>
          <w:rFonts w:hint="eastAsia" w:ascii="宋体" w:eastAsia="宋体"/>
          <w:color w:val="000000" w:themeColor="text1"/>
          <w:position w:val="0"/>
          <w:sz w:val="28"/>
          <w:szCs w:val="28"/>
          <w:shd w:val="clear" w:color="000000" w:fill="FFFFFF"/>
          <w:lang w:val="en-US" w:eastAsia="zh-CN"/>
        </w:rPr>
        <w:t>11</w:t>
      </w:r>
      <w:r>
        <w:rPr>
          <w:rFonts w:hint="default" w:ascii="宋体" w:hAnsi="Times New Roman" w:eastAsia="Times New Roman"/>
          <w:color w:val="000000" w:themeColor="text1"/>
          <w:position w:val="0"/>
          <w:sz w:val="28"/>
          <w:szCs w:val="28"/>
          <w:shd w:val="clear" w:color="000000" w:fill="FFFFFF"/>
        </w:rPr>
        <w:t>次。学生通过参加技能大赛增强了对专业学习的热情，提高了专业技能水平，为今后的职业发展打下了扎实的基础。</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80" w:firstLineChars="10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　3.质量保障措施</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3.1专业动态调整</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423"/>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为使专业培养人才能够切实符合适应经济社会转型升级的需要，全面提升我校的人才培养水平，学校建立了专业增设、淘汰、改造的动态调整机制，优化各专业结构与布局，提高专业建设水平。</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423"/>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，学校在充分进行市场调研的基础上，经过充分论证，结合本校的实际情况，新增设</w:t>
      </w:r>
      <w:r>
        <w:rPr>
          <w:rFonts w:hint="eastAsia" w:ascii="宋体" w:eastAsia="宋体"/>
          <w:color w:val="000000" w:themeColor="text1"/>
          <w:position w:val="0"/>
          <w:sz w:val="28"/>
          <w:szCs w:val="28"/>
          <w:shd w:val="clear" w:color="000000" w:fill="FFFFFF"/>
          <w:lang w:val="en-US" w:eastAsia="zh-CN"/>
        </w:rPr>
        <w:t>舞台艺术设计和国防特色教育</w:t>
      </w:r>
      <w:r>
        <w:rPr>
          <w:rFonts w:hint="default" w:ascii="宋体" w:hAnsi="Times New Roman" w:eastAsia="Times New Roman"/>
          <w:color w:val="000000" w:themeColor="text1"/>
          <w:position w:val="0"/>
          <w:sz w:val="28"/>
          <w:szCs w:val="28"/>
          <w:shd w:val="clear" w:color="000000" w:fill="FFFFFF"/>
        </w:rPr>
        <w:t>专业，改造</w:t>
      </w:r>
      <w:r>
        <w:rPr>
          <w:rFonts w:hint="eastAsia" w:ascii="宋体" w:eastAsia="宋体"/>
          <w:color w:val="000000" w:themeColor="text1"/>
          <w:position w:val="0"/>
          <w:sz w:val="28"/>
          <w:szCs w:val="28"/>
          <w:shd w:val="clear" w:color="000000" w:fill="FFFFFF"/>
          <w:lang w:val="en-US" w:eastAsia="zh-CN"/>
        </w:rPr>
        <w:t>汽车</w:t>
      </w:r>
      <w:r>
        <w:rPr>
          <w:rFonts w:hint="default" w:ascii="宋体" w:hAnsi="Times New Roman" w:eastAsia="Times New Roman"/>
          <w:color w:val="000000" w:themeColor="text1"/>
          <w:position w:val="0"/>
          <w:sz w:val="28"/>
          <w:szCs w:val="28"/>
          <w:shd w:val="clear" w:color="000000" w:fill="FFFFFF"/>
        </w:rPr>
        <w:t>专业，该专业与四川</w:t>
      </w:r>
      <w:r>
        <w:rPr>
          <w:rFonts w:hint="eastAsia" w:ascii="宋体" w:eastAsia="宋体"/>
          <w:color w:val="000000" w:themeColor="text1"/>
          <w:position w:val="0"/>
          <w:sz w:val="28"/>
          <w:szCs w:val="28"/>
          <w:shd w:val="clear" w:color="000000" w:fill="FFFFFF"/>
          <w:lang w:val="en-US" w:eastAsia="zh-CN"/>
        </w:rPr>
        <w:t>智扬企业</w:t>
      </w:r>
      <w:r>
        <w:rPr>
          <w:rFonts w:hint="default" w:ascii="宋体" w:hAnsi="Times New Roman" w:eastAsia="Times New Roman"/>
          <w:color w:val="000000" w:themeColor="text1"/>
          <w:position w:val="0"/>
          <w:sz w:val="28"/>
          <w:szCs w:val="28"/>
          <w:shd w:val="clear" w:color="000000" w:fill="FFFFFF"/>
        </w:rPr>
        <w:t>合作开设“</w:t>
      </w:r>
      <w:r>
        <w:rPr>
          <w:rFonts w:hint="eastAsia" w:ascii="宋体" w:eastAsia="宋体"/>
          <w:color w:val="000000" w:themeColor="text1"/>
          <w:position w:val="0"/>
          <w:sz w:val="28"/>
          <w:szCs w:val="28"/>
          <w:shd w:val="clear" w:color="000000" w:fill="FFFFFF"/>
          <w:lang w:val="en-US" w:eastAsia="zh-CN"/>
        </w:rPr>
        <w:t>新能源</w:t>
      </w:r>
      <w:r>
        <w:rPr>
          <w:rFonts w:hint="default" w:ascii="宋体" w:hAnsi="Times New Roman" w:eastAsia="Times New Roman"/>
          <w:color w:val="000000" w:themeColor="text1"/>
          <w:position w:val="0"/>
          <w:sz w:val="28"/>
          <w:szCs w:val="28"/>
          <w:shd w:val="clear" w:color="000000" w:fill="FFFFFF"/>
        </w:rPr>
        <w:t>”教学课程，对专业教学计划、教学内容和方法、课程设置等分方向、分层次进行了专题研讨，模块化教学、项目教学、专业集中实训、阶段性实习等教学措施，为专业的发展和学生的高端就业开辟出一片新天地。</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3.2教育教学改革</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在开设新专业、增强学校专业活力的同时，不断强化原有专业的建设，以课程内容改革为核心，以教学方法、手段改革为重点，严格按照教育部《中等职业学校专业教学标准》的要求，调整课程设置，优化课程结构，促进专业教学科学化、标准化，促进课程、教材建设的规范化、系列化。</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3.2.1 打造品牌专业和精品课程</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学校成立了品牌专业和精品课程建设领导小组，并由相应的专业建设指导委员会对专业建设全过程实施指导和监控，各专业教研组负责项目具体实施，专业发展涉及到的品牌专业和几门精品课程建设项目等以及教学团队均有明确的任务。通过以点带面，品牌专业和精品课程建设成果已经发挥了良好的示范作用，促进了学校的专业建设，同时其它专业与课程打造品牌和精品的工作也正在推广中。</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3.2.2 开拓国际合作中高课程衔接</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eastAsia" w:ascii="宋体" w:eastAsia="宋体"/>
          <w:color w:val="000000" w:themeColor="text1"/>
          <w:position w:val="0"/>
          <w:sz w:val="28"/>
          <w:szCs w:val="28"/>
          <w:shd w:val="clear" w:color="000000" w:fill="FFFFFF"/>
          <w:lang w:val="en-US" w:eastAsia="zh-CN"/>
        </w:rPr>
        <w:t>,</w:t>
      </w:r>
      <w:r>
        <w:rPr>
          <w:rFonts w:hint="default" w:ascii="宋体" w:hAnsi="Times New Roman" w:eastAsia="Times New Roman"/>
          <w:color w:val="000000" w:themeColor="text1"/>
          <w:position w:val="0"/>
          <w:sz w:val="28"/>
          <w:szCs w:val="28"/>
          <w:shd w:val="clear" w:color="000000" w:fill="FFFFFF"/>
        </w:rPr>
        <w:t>学校</w:t>
      </w:r>
      <w:r>
        <w:rPr>
          <w:rFonts w:hint="eastAsia" w:ascii="宋体" w:eastAsia="宋体"/>
          <w:color w:val="000000" w:themeColor="text1"/>
          <w:position w:val="0"/>
          <w:sz w:val="28"/>
          <w:szCs w:val="28"/>
          <w:shd w:val="clear" w:color="000000" w:fill="FFFFFF"/>
          <w:lang w:val="en-US" w:eastAsia="zh-CN"/>
        </w:rPr>
        <w:t>继续</w:t>
      </w:r>
      <w:r>
        <w:rPr>
          <w:rFonts w:hint="default" w:ascii="宋体" w:hAnsi="Times New Roman" w:eastAsia="Times New Roman"/>
          <w:color w:val="000000" w:themeColor="text1"/>
          <w:position w:val="0"/>
          <w:sz w:val="28"/>
          <w:szCs w:val="28"/>
          <w:shd w:val="clear" w:color="000000" w:fill="FFFFFF"/>
        </w:rPr>
        <w:t>与泰国</w:t>
      </w:r>
      <w:r>
        <w:rPr>
          <w:rFonts w:hint="eastAsia" w:ascii="宋体" w:eastAsia="宋体"/>
          <w:color w:val="000000" w:themeColor="text1"/>
          <w:position w:val="0"/>
          <w:sz w:val="28"/>
          <w:szCs w:val="28"/>
          <w:shd w:val="clear" w:color="000000" w:fill="FFFFFF"/>
          <w:lang w:eastAsia="zh-CN"/>
        </w:rPr>
        <w:t>继续</w:t>
      </w:r>
      <w:r>
        <w:rPr>
          <w:rFonts w:hint="default" w:ascii="宋体" w:hAnsi="Times New Roman" w:eastAsia="Times New Roman"/>
          <w:color w:val="000000" w:themeColor="text1"/>
          <w:position w:val="0"/>
          <w:sz w:val="28"/>
          <w:szCs w:val="28"/>
          <w:shd w:val="clear" w:color="000000" w:fill="FFFFFF"/>
        </w:rPr>
        <w:t>开展衔接的国际合作。合作采用“2.5+1.5+1”的模式。学生前2.5年在我校完成专业课程的学分，第6学期前往泰国，修完剩余的课程学分，即可获得泰国大专学历证书。再继续深造1年，修满本科阶段的课程和学分学分，即可获得学士学位。而后，还可继续修读硕士学位。</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开展国际合作中高职衔接具有重要意义。一是开辟了中职学生可持续提高学历层次的成功途径，二是建立了中高职衔接的新型模式，三是引进了国际优质教育资源，四是培养了大批国际化人才。</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3.2.3 加强教育教学质量监控</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一是开展教师教学质量综合评价。使教师获得综合、全面的反馈信息，及时改进教学方法，提高教学质量。通过对教学质量进行实时监控，为教学管理、教学改革提供决策依据，并为教师职称评聘、评优评先、学校人事、分配制度改革等提供基本的依据。学校每个学期都开展期中教学检查，期中教学检查采取师、生填写有关统计表（《教学检查登记表》、《学生测评任课教师登记表》、《教学质量综合评价表》和《教学质量督导评价表》），召开师、生代表座谈会及安排教学公开课、相互听课评课、期中考试等方式进行。其中开展的学生问卷评教活动，对任课教师的教学态度、教学水平、教学效果三方面进行分项量化打分，综合评价，共计20个小项目，每项5分，合计满分为100分。回收数据率达到9</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6</w:t>
      </w:r>
      <w:r>
        <w:rPr>
          <w:rFonts w:hint="default" w:ascii="宋体" w:hAnsi="Times New Roman" w:eastAsia="Times New Roman"/>
          <w:color w:val="000000" w:themeColor="text1"/>
          <w:position w:val="0"/>
          <w:sz w:val="28"/>
          <w:szCs w:val="28"/>
          <w:shd w:val="clear" w:color="000000" w:fill="FFFFFF"/>
        </w:rPr>
        <w:t>%，参评老师</w:t>
      </w:r>
      <w:r>
        <w:rPr>
          <w:rFonts w:hint="eastAsia" w:ascii="宋体" w:eastAsia="宋体"/>
          <w:color w:val="000000" w:themeColor="text1"/>
          <w:position w:val="0"/>
          <w:sz w:val="28"/>
          <w:szCs w:val="28"/>
          <w:shd w:val="clear" w:color="000000" w:fill="FFFFFF"/>
          <w:lang w:val="en-US" w:eastAsia="zh-CN"/>
        </w:rPr>
        <w:t>79</w:t>
      </w:r>
      <w:r>
        <w:rPr>
          <w:rFonts w:hint="default" w:ascii="宋体" w:hAnsi="Times New Roman" w:eastAsia="Times New Roman"/>
          <w:color w:val="000000" w:themeColor="text1"/>
          <w:position w:val="0"/>
          <w:sz w:val="28"/>
          <w:szCs w:val="28"/>
          <w:shd w:val="clear" w:color="000000" w:fill="FFFFFF"/>
        </w:rPr>
        <w:t>人，90分以上</w:t>
      </w:r>
      <w:r>
        <w:rPr>
          <w:rFonts w:hint="eastAsia" w:ascii="宋体" w:eastAsia="宋体"/>
          <w:color w:val="000000" w:themeColor="text1"/>
          <w:position w:val="0"/>
          <w:sz w:val="28"/>
          <w:szCs w:val="28"/>
          <w:shd w:val="clear" w:color="000000" w:fill="FFFFFF"/>
          <w:lang w:val="en-US" w:eastAsia="zh-CN"/>
        </w:rPr>
        <w:t>76</w:t>
      </w:r>
      <w:r>
        <w:rPr>
          <w:rFonts w:hint="default" w:ascii="宋体" w:hAnsi="Times New Roman" w:eastAsia="Times New Roman"/>
          <w:color w:val="000000" w:themeColor="text1"/>
          <w:position w:val="0"/>
          <w:sz w:val="28"/>
          <w:szCs w:val="28"/>
          <w:shd w:val="clear" w:color="000000" w:fill="FFFFFF"/>
        </w:rPr>
        <w:t>人，呈现逐年上升的趋势。</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150"/>
        <w:jc w:val="both"/>
        <w:textAlignment w:val="auto"/>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w:t>
      </w:r>
      <w:r>
        <w:rPr>
          <w:rFonts w:hint="eastAsia" w:ascii="宋体" w:eastAsia="宋体"/>
          <w:b/>
          <w:color w:val="000000" w:themeColor="text1"/>
          <w:position w:val="0"/>
          <w:sz w:val="28"/>
          <w:szCs w:val="28"/>
          <w:shd w:val="clear" w:color="000000" w:fill="FFFFFF"/>
          <w:lang w:eastAsia="zh-CN"/>
        </w:rPr>
        <w:t>六</w:t>
      </w:r>
      <w:r>
        <w:rPr>
          <w:rFonts w:hint="default" w:ascii="宋体" w:hAnsi="Times New Roman" w:eastAsia="Times New Roman"/>
          <w:b/>
          <w:color w:val="000000" w:themeColor="text1"/>
          <w:position w:val="0"/>
          <w:sz w:val="28"/>
          <w:szCs w:val="28"/>
          <w:shd w:val="clear" w:color="000000" w:fill="FFFFFF"/>
        </w:rPr>
        <w:t>：</w:t>
      </w:r>
      <w:r>
        <w:rPr>
          <w:rFonts w:hint="eastAsia" w:ascii="宋体" w:eastAsia="宋体"/>
          <w:b/>
          <w:color w:val="000000" w:themeColor="text1"/>
          <w:position w:val="0"/>
          <w:sz w:val="28"/>
          <w:szCs w:val="28"/>
          <w:shd w:val="clear" w:color="000000" w:fill="FFFFFF"/>
          <w:lang w:eastAsia="zh-CN"/>
        </w:rPr>
        <w:t>2021年</w:t>
      </w:r>
      <w:r>
        <w:rPr>
          <w:rFonts w:hint="default" w:ascii="宋体" w:hAnsi="Times New Roman" w:eastAsia="Times New Roman"/>
          <w:b/>
          <w:color w:val="000000" w:themeColor="text1"/>
          <w:position w:val="0"/>
          <w:sz w:val="28"/>
          <w:szCs w:val="28"/>
          <w:shd w:val="clear" w:color="000000" w:fill="FFFFFF"/>
        </w:rPr>
        <w:t>教学问卷调查情况饼状图</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drawing>
          <wp:inline distT="0" distB="0" distL="0" distR="0">
            <wp:extent cx="5481955" cy="1842135"/>
            <wp:effectExtent l="4445" t="4445" r="19050" b="2032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二是开展学生综合素质评价。确立全面质量管理理念，把学习者职业素养、职业道德、技术技能水平和就业质量作为人才培养质量评价的重要标准，强化人才培养全程的质量监控，完善由学校、行业、企业和社会机构等共同参与的质量评价、反馈与改进机制，全面保证人才培养质量。</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 教师培养培训</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3.3.1 学校高度重视教师培训工作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学校高度重视教师培养培训工作，紧密结合学校实际扎实开展教师培养培训工作。保障经费，创新形式，师资队伍建设收到良好效果。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学校采用走出去和请进来两种模式开展教师培训工作，</w:t>
      </w:r>
      <w:r>
        <w:rPr>
          <w:rFonts w:hint="eastAsia" w:ascii="宋体" w:eastAsia="宋体"/>
          <w:color w:val="000000" w:themeColor="text1"/>
          <w:position w:val="0"/>
          <w:sz w:val="28"/>
          <w:szCs w:val="28"/>
          <w:shd w:val="clear" w:color="000000" w:fill="FFFFFF"/>
          <w:lang w:val="en-US" w:eastAsia="zh-CN"/>
        </w:rPr>
        <w:t>2021年因疫情影响，主要采取网络培训为主，</w:t>
      </w:r>
      <w:r>
        <w:rPr>
          <w:rFonts w:hint="default" w:ascii="宋体" w:hAnsi="Times New Roman" w:eastAsia="Times New Roman"/>
          <w:color w:val="000000" w:themeColor="text1"/>
          <w:position w:val="0"/>
          <w:sz w:val="28"/>
          <w:szCs w:val="28"/>
          <w:shd w:val="clear" w:color="000000" w:fill="FFFFFF"/>
        </w:rPr>
        <w:t>学校以鼓励为原则对技能大赛辅导教师、教师参赛人员、优秀班主任等学习。</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教师队伍建设经费总支出</w:t>
      </w:r>
      <w:r>
        <w:rPr>
          <w:rFonts w:hint="eastAsia" w:ascii="宋体" w:eastAsia="宋体"/>
          <w:color w:val="000000" w:themeColor="text1"/>
          <w:position w:val="0"/>
          <w:sz w:val="28"/>
          <w:szCs w:val="28"/>
          <w:shd w:val="clear" w:color="000000" w:fill="FFFFFF"/>
          <w:lang w:val="en-US" w:eastAsia="zh-CN"/>
        </w:rPr>
        <w:t>42</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万元。</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142"/>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000000" w:themeColor="text1"/>
          <w:position w:val="0"/>
          <w:sz w:val="28"/>
          <w:szCs w:val="28"/>
          <w:shd w:val="clear" w:color="000000" w:fill="FFFFFF"/>
        </w:rPr>
        <w:t>表</w:t>
      </w:r>
      <w:r>
        <w:rPr>
          <w:rFonts w:hint="eastAsia" w:ascii="宋体" w:eastAsia="宋体"/>
          <w:b/>
          <w:color w:val="000000" w:themeColor="text1"/>
          <w:position w:val="0"/>
          <w:sz w:val="28"/>
          <w:szCs w:val="28"/>
          <w:shd w:val="clear" w:color="000000" w:fill="FFFFFF"/>
          <w:lang w:eastAsia="zh-CN"/>
        </w:rPr>
        <w:t>七</w:t>
      </w:r>
      <w:r>
        <w:rPr>
          <w:rFonts w:hint="default" w:ascii="宋体" w:hAnsi="Times New Roman" w:eastAsia="Times New Roman"/>
          <w:b/>
          <w:color w:val="000000" w:themeColor="text1"/>
          <w:position w:val="0"/>
          <w:sz w:val="28"/>
          <w:szCs w:val="28"/>
          <w:shd w:val="clear" w:color="000000" w:fill="FFFFFF"/>
        </w:rPr>
        <w:t>：学校近三年教师培训柱形图</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drawing>
          <wp:inline distT="0" distB="0" distL="0" distR="0">
            <wp:extent cx="5937250" cy="2742565"/>
            <wp:effectExtent l="4445" t="4445" r="20955" b="7239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3.3.2 以科研促成长</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42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在教师培养中，学校重视以科研促成长。</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，学校教师课题有2项：一是</w:t>
      </w:r>
      <w:r>
        <w:rPr>
          <w:rFonts w:hint="eastAsia" w:ascii="宋体" w:eastAsia="宋体"/>
          <w:color w:val="000000" w:themeColor="text1"/>
          <w:position w:val="0"/>
          <w:sz w:val="28"/>
          <w:szCs w:val="28"/>
          <w:shd w:val="clear" w:color="000000" w:fill="FFFFFF"/>
          <w:lang w:val="en-US" w:eastAsia="zh-CN"/>
        </w:rPr>
        <w:t>李正香</w:t>
      </w:r>
      <w:r>
        <w:rPr>
          <w:rFonts w:hint="default" w:ascii="宋体" w:hAnsi="Times New Roman" w:eastAsia="Times New Roman"/>
          <w:color w:val="000000" w:themeColor="text1"/>
          <w:position w:val="0"/>
          <w:sz w:val="28"/>
          <w:szCs w:val="28"/>
          <w:shd w:val="clear" w:color="000000" w:fill="FFFFFF"/>
        </w:rPr>
        <w:t>和</w:t>
      </w:r>
      <w:r>
        <w:rPr>
          <w:rFonts w:hint="eastAsia" w:ascii="宋体" w:eastAsia="宋体"/>
          <w:color w:val="000000" w:themeColor="text1"/>
          <w:position w:val="0"/>
          <w:sz w:val="28"/>
          <w:szCs w:val="28"/>
          <w:shd w:val="clear" w:color="000000" w:fill="FFFFFF"/>
          <w:lang w:val="en-US" w:eastAsia="zh-CN"/>
        </w:rPr>
        <w:t>李敏</w:t>
      </w:r>
      <w:r>
        <w:rPr>
          <w:rFonts w:hint="default" w:ascii="宋体" w:hAnsi="Times New Roman" w:eastAsia="Times New Roman"/>
          <w:color w:val="000000" w:themeColor="text1"/>
          <w:position w:val="0"/>
          <w:sz w:val="28"/>
          <w:szCs w:val="28"/>
          <w:shd w:val="clear" w:color="000000" w:fill="FFFFFF"/>
        </w:rPr>
        <w:t>主持的</w:t>
      </w:r>
      <w:r>
        <w:rPr>
          <w:rFonts w:hint="eastAsia" w:ascii="宋体" w:eastAsia="宋体"/>
          <w:color w:val="000000" w:themeColor="text1"/>
          <w:position w:val="0"/>
          <w:sz w:val="28"/>
          <w:szCs w:val="28"/>
          <w:shd w:val="clear" w:color="000000" w:fill="FFFFFF"/>
          <w:lang w:val="en-US" w:eastAsia="zh-CN"/>
        </w:rPr>
        <w:t>会计</w:t>
      </w:r>
      <w:r>
        <w:rPr>
          <w:rFonts w:hint="default" w:ascii="宋体" w:hAnsi="Times New Roman" w:eastAsia="Times New Roman"/>
          <w:color w:val="000000" w:themeColor="text1"/>
          <w:position w:val="0"/>
          <w:sz w:val="28"/>
          <w:szCs w:val="28"/>
          <w:shd w:val="clear" w:color="000000" w:fill="FFFFFF"/>
        </w:rPr>
        <w:t>课题“</w:t>
      </w:r>
      <w:r>
        <w:rPr>
          <w:rFonts w:hint="eastAsia" w:ascii="宋体" w:eastAsia="宋体"/>
          <w:color w:val="000000" w:themeColor="text1"/>
          <w:position w:val="0"/>
          <w:sz w:val="28"/>
          <w:szCs w:val="28"/>
          <w:shd w:val="clear" w:color="000000" w:fill="FFFFFF"/>
          <w:lang w:val="en-US" w:eastAsia="zh-CN"/>
        </w:rPr>
        <w:t>会计行业从业人员价值体现</w:t>
      </w:r>
      <w:r>
        <w:rPr>
          <w:rFonts w:hint="default" w:ascii="宋体" w:hAnsi="Times New Roman" w:eastAsia="Times New Roman"/>
          <w:color w:val="000000" w:themeColor="text1"/>
          <w:position w:val="0"/>
          <w:sz w:val="28"/>
          <w:szCs w:val="28"/>
          <w:shd w:val="clear" w:color="000000" w:fill="FFFFFF"/>
        </w:rPr>
        <w:t>”，二是</w:t>
      </w:r>
      <w:r>
        <w:rPr>
          <w:rFonts w:hint="eastAsia" w:ascii="宋体" w:eastAsia="宋体"/>
          <w:color w:val="000000" w:themeColor="text1"/>
          <w:position w:val="0"/>
          <w:sz w:val="28"/>
          <w:szCs w:val="28"/>
          <w:shd w:val="clear" w:color="000000" w:fill="FFFFFF"/>
          <w:lang w:val="en-US" w:eastAsia="zh-CN"/>
        </w:rPr>
        <w:t>廖绪堂和缪应琼</w:t>
      </w:r>
      <w:r>
        <w:rPr>
          <w:rFonts w:hint="default" w:ascii="宋体" w:hAnsi="Times New Roman" w:eastAsia="Times New Roman"/>
          <w:color w:val="000000" w:themeColor="text1"/>
          <w:position w:val="0"/>
          <w:sz w:val="28"/>
          <w:szCs w:val="28"/>
          <w:shd w:val="clear" w:color="000000" w:fill="FFFFFF"/>
        </w:rPr>
        <w:t>主持的</w:t>
      </w:r>
      <w:r>
        <w:rPr>
          <w:rFonts w:hint="eastAsia" w:ascii="宋体" w:eastAsia="宋体"/>
          <w:color w:val="000000" w:themeColor="text1"/>
          <w:position w:val="0"/>
          <w:sz w:val="28"/>
          <w:szCs w:val="28"/>
          <w:shd w:val="clear" w:color="000000" w:fill="FFFFFF"/>
          <w:lang w:eastAsia="zh-CN"/>
        </w:rPr>
        <w:t>德育</w:t>
      </w:r>
      <w:r>
        <w:rPr>
          <w:rFonts w:hint="default" w:ascii="宋体" w:hAnsi="Times New Roman" w:eastAsia="Times New Roman"/>
          <w:color w:val="000000" w:themeColor="text1"/>
          <w:position w:val="0"/>
          <w:sz w:val="28"/>
          <w:szCs w:val="28"/>
          <w:shd w:val="clear" w:color="000000" w:fill="FFFFFF"/>
        </w:rPr>
        <w:t>课题“</w:t>
      </w:r>
      <w:r>
        <w:rPr>
          <w:rFonts w:hint="eastAsia" w:ascii="宋体" w:eastAsia="宋体"/>
          <w:color w:val="000000" w:themeColor="text1"/>
          <w:position w:val="0"/>
          <w:sz w:val="28"/>
          <w:szCs w:val="28"/>
          <w:shd w:val="clear" w:color="000000" w:fill="FFFFFF"/>
          <w:lang w:val="en-US" w:eastAsia="zh-CN"/>
        </w:rPr>
        <w:t>中职德育管理中的国防教育</w:t>
      </w:r>
      <w:r>
        <w:rPr>
          <w:rFonts w:hint="default" w:ascii="宋体" w:hAnsi="Times New Roman" w:eastAsia="Times New Roman"/>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3.3.3 落实继续教育考核制度</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建立校本培训登记制度，落实继续教育考核制度。本学期教师人手一册《学习记录本》，每次做好校本培训记录和考勤，要求参加培训的教师认真总结培训的体会和收获，提交个人培训总结报告一份，与培训期间的读书笔记、《学习记录本》等文本资料上交存档。将教师继续教育纳入考核与聘任、评先等。通过制度规范教师参加培训的审批、报销和学时要求，促进教职工参加继续教育培训的积极性和主动性。</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3.3.4 开展教师关爱行动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开展教师关爱行动，凝聚学校团队向心力。学校充分发挥工青妇的力量，开展日常教师关爱行动，慰问生病住院的教师。工会在“</w:t>
      </w:r>
      <w:r>
        <w:rPr>
          <w:rFonts w:hint="eastAsia" w:ascii="宋体" w:eastAsia="宋体"/>
          <w:color w:val="000000" w:themeColor="text1"/>
          <w:position w:val="0"/>
          <w:sz w:val="28"/>
          <w:szCs w:val="28"/>
          <w:shd w:val="clear" w:color="000000" w:fill="FFFFFF"/>
          <w:lang w:val="en-US" w:eastAsia="zh-CN"/>
        </w:rPr>
        <w:t>教师</w:t>
      </w:r>
      <w:r>
        <w:rPr>
          <w:rFonts w:hint="default" w:ascii="宋体" w:hAnsi="Times New Roman" w:eastAsia="Times New Roman"/>
          <w:color w:val="000000" w:themeColor="text1"/>
          <w:position w:val="0"/>
          <w:sz w:val="28"/>
          <w:szCs w:val="28"/>
          <w:shd w:val="clear" w:color="000000" w:fill="FFFFFF"/>
        </w:rPr>
        <w:t>”节期间组织学校全体在岗女教职工开展专题活动，关心女教职工身心健康，积极帮助教师家属，体现学校对广大教职员工的关心。工会定期组织教职工文体活动，今年开展了教师运动会，每年开展对学校教师的慰问活动、发放慰问金。</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3.3.5 塑造教师新形象</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学高为师、身正为范。激发一支教师“生命正能”，塑造一支教师新形象。学校参照双流区教育局教师新标准、新要求和新形象，建立一支教师的新标准，践行“培养一个学生、致富一个家庭”的办学理念、按照“厚德、善行、博学、精技”的办学目标，着力塑造教师的新形象。一是倡导、激励全体教师努力养成真心理解、切实关心、高度尊重、充分信任、真正欣赏每一个学生的教育理念，做仁爱教师，让教师在师德师风、专业建设、课程改革、特色教育等方面形成独特的优势。二是倡导高尚卓越的师德标准，明确师德底线要求，加强教师“职业道德规范”与“专业标准”学习，建立本校教师师德档案。</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开展“上学生喜欢的课、做学生喜欢的教师”专题实践活动，</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评选出</w:t>
      </w:r>
      <w:r>
        <w:rPr>
          <w:rFonts w:hint="eastAsia" w:ascii="宋体" w:eastAsia="宋体"/>
          <w:color w:val="000000" w:themeColor="text1"/>
          <w:position w:val="0"/>
          <w:sz w:val="28"/>
          <w:szCs w:val="28"/>
          <w:shd w:val="clear" w:color="000000" w:fill="FFFFFF"/>
          <w:lang w:val="en-US" w:eastAsia="zh-CN"/>
        </w:rPr>
        <w:t>文军</w:t>
      </w:r>
      <w:r>
        <w:rPr>
          <w:rFonts w:hint="default" w:ascii="宋体" w:hAnsi="Times New Roman" w:eastAsia="Times New Roman"/>
          <w:color w:val="000000" w:themeColor="text1"/>
          <w:position w:val="0"/>
          <w:sz w:val="28"/>
          <w:szCs w:val="28"/>
          <w:shd w:val="clear" w:color="000000" w:fill="FFFFFF"/>
        </w:rPr>
        <w:t>等</w:t>
      </w:r>
      <w:r>
        <w:rPr>
          <w:rFonts w:hint="eastAsia" w:ascii="宋体" w:eastAsia="宋体"/>
          <w:color w:val="000000" w:themeColor="text1"/>
          <w:position w:val="0"/>
          <w:sz w:val="28"/>
          <w:szCs w:val="28"/>
          <w:shd w:val="clear" w:color="000000" w:fill="FFFFFF"/>
          <w:lang w:val="en-US" w:eastAsia="zh-CN"/>
        </w:rPr>
        <w:t>10</w:t>
      </w:r>
      <w:r>
        <w:rPr>
          <w:rFonts w:hint="default" w:ascii="宋体" w:hAnsi="Times New Roman" w:eastAsia="Times New Roman"/>
          <w:color w:val="000000" w:themeColor="text1"/>
          <w:position w:val="0"/>
          <w:sz w:val="28"/>
          <w:szCs w:val="28"/>
          <w:shd w:val="clear" w:color="000000" w:fill="FFFFFF"/>
        </w:rPr>
        <w:t>名“学生喜爱的老师”。</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 规范管理情况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遵循</w:t>
      </w:r>
      <w:r>
        <w:rPr>
          <w:rFonts w:hint="default" w:ascii="宋体" w:hAnsi="Times New Roman" w:eastAsia="Times New Roman"/>
          <w:color w:val="000000" w:themeColor="text1"/>
          <w:position w:val="0"/>
          <w:sz w:val="28"/>
          <w:szCs w:val="28"/>
          <w:shd w:val="clear" w:color="000000" w:fill="FFFFFF"/>
        </w:rPr>
        <w:t>《民办教育促进法》，落实了董事会领导下的校长负责制，完善了学校各种规章制度，完成了教代会、工会选举，并组织召开了教代会，会议审议通过了《成都华夏旅游商务学校学校工作报告》、《成都华夏旅游商务学校工会工作报告》和《成都华夏旅游商务学校章程》，充分体现学校的民主意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3.4.1规范教学管理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为使教学管理有“章”可循，有“法”可依，根据学校实际情况不断完善教学管理制度，从而逐步形成规范化、制度化的教学管理。教务科在充分研讨的基础上，补充完善了《教学工作例会制度》、《教学七认真检查管理制度》、《教学质量保证及监控管理办法》、《教师行为规范培训实施办法》、《听课评课暂行规定》、《教师进修培训管理制度》、《关于教师临时调课的规定》、《教师监考守则》、《学生考试规则》、《学生考试违规处理暂行办法》、《教学档案管理规定》等制度，形成常规教学行为的良性循环。</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3.4.2 规范学生管理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生处加强学校学生管理的章程建设，健全学校依法办学、自主管理的制度体系；健全科学决策、民主管理机制，在学校形成自由平等、公正法治的育人环境；健全学生权利救济和纠纷解决机制，有效化解矛盾纠纷。今年，学生处在充分研讨的基础上，对《学生管理手册》进行了全面修订，对《学生出入校门管理规定》、《学生请假管理规定》、《学生仪容仪表规则》、《学生德育学分考核细则》进行了修订，制定了《关于禁止学生课堂使用手机的暂行规定》等多个规范性内部文件，增强可操作性，为学校严格管理打下了良好的基础。</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3.4.3规范财务管理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为保障学校运行规范有序，形成长效机制，</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在学校董事会的指导下，学校进行了内控基础建设。通过内控基础型评价找出缺点和不足，以完善制度流程等方式，加强内部权力制衡，规范内部运行流程。先后完善了《成都华夏旅游商务学校财务管理办法》、《费用报销暂行规定》等规范性文件，保证了学校财务信息真实完整，同时提高了服务的效率和效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3.4.4规范后勤管理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我校继续推行后勤社会化的运行机制，以健全制度建设，强化制度执行力度为抓手，进一步完善管理机制、提高管理水平。建立和健全了内部控制体系，完善内部控制环境、预决算管理、资产管理、收入管理、支出管理、采购管理等模块的管理机制。进一步完善了后勤采购机制工作规程，修订了学校资产管理的有关规定，充分发挥现有资产设备服务教育教学和保障全体师生的作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3.4.5规范安全管理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学校严格执行双流区教育局和辖区管理部门有关文件精神、要求，认真开展各项安全防范工作，重点加强了学生安全教育，实现了全年无发生重大安全事故，保障了师生及校园的安全稳定。</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eastAsia" w:ascii="宋体" w:eastAsia="宋体"/>
          <w:color w:val="000000" w:themeColor="text1"/>
          <w:position w:val="0"/>
          <w:sz w:val="28"/>
          <w:szCs w:val="28"/>
          <w:shd w:val="clear" w:color="000000" w:fill="FFFFFF"/>
          <w:lang w:val="en-US" w:eastAsia="zh-CN"/>
        </w:rPr>
        <w:t>学校</w:t>
      </w:r>
      <w:r>
        <w:rPr>
          <w:rFonts w:hint="default" w:ascii="宋体" w:hAnsi="Times New Roman" w:eastAsia="Times New Roman"/>
          <w:color w:val="000000" w:themeColor="text1"/>
          <w:position w:val="0"/>
          <w:sz w:val="28"/>
          <w:szCs w:val="28"/>
          <w:shd w:val="clear" w:color="000000" w:fill="FFFFFF"/>
        </w:rPr>
        <w:t>继续聘请西航港派出所</w:t>
      </w:r>
      <w:r>
        <w:rPr>
          <w:rFonts w:hint="eastAsia" w:ascii="宋体" w:eastAsia="宋体"/>
          <w:color w:val="000000" w:themeColor="text1"/>
          <w:position w:val="0"/>
          <w:sz w:val="28"/>
          <w:szCs w:val="28"/>
          <w:shd w:val="clear" w:color="000000" w:fill="FFFFFF"/>
          <w:lang w:val="en-US" w:eastAsia="zh-CN"/>
        </w:rPr>
        <w:t>蒲伟</w:t>
      </w:r>
      <w:r>
        <w:rPr>
          <w:rFonts w:hint="default" w:ascii="宋体" w:hAnsi="Times New Roman" w:eastAsia="Times New Roman"/>
          <w:color w:val="000000" w:themeColor="text1"/>
          <w:position w:val="0"/>
          <w:sz w:val="28"/>
          <w:szCs w:val="28"/>
          <w:shd w:val="clear" w:color="000000" w:fill="FFFFFF"/>
        </w:rPr>
        <w:t>副所长为法制副校长并到校为学生作安全教育辅导报告，社区干警</w:t>
      </w:r>
      <w:r>
        <w:rPr>
          <w:rFonts w:hint="eastAsia" w:ascii="宋体" w:eastAsia="宋体"/>
          <w:color w:val="000000" w:themeColor="text1"/>
          <w:position w:val="0"/>
          <w:sz w:val="28"/>
          <w:szCs w:val="28"/>
          <w:shd w:val="clear" w:color="000000" w:fill="FFFFFF"/>
          <w:lang w:val="en-US" w:eastAsia="zh-CN"/>
        </w:rPr>
        <w:t>杜冬</w:t>
      </w:r>
      <w:r>
        <w:rPr>
          <w:rFonts w:hint="default" w:ascii="宋体" w:hAnsi="Times New Roman" w:eastAsia="Times New Roman"/>
          <w:color w:val="000000" w:themeColor="text1"/>
          <w:position w:val="0"/>
          <w:sz w:val="28"/>
          <w:szCs w:val="28"/>
          <w:shd w:val="clear" w:color="000000" w:fill="FFFFFF"/>
        </w:rPr>
        <w:t>定期检查学校安全工作并提出学校安全管理方面的改进意见，效果显著。</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联合举办有关</w:t>
      </w:r>
      <w:r>
        <w:rPr>
          <w:rFonts w:hint="eastAsia" w:ascii="宋体" w:eastAsia="宋体"/>
          <w:color w:val="000000" w:themeColor="text1"/>
          <w:position w:val="0"/>
          <w:sz w:val="28"/>
          <w:szCs w:val="28"/>
          <w:shd w:val="clear" w:color="000000" w:fill="FFFFFF"/>
          <w:lang w:val="en-US" w:eastAsia="zh-CN"/>
        </w:rPr>
        <w:t>疫情防控、</w:t>
      </w:r>
      <w:r>
        <w:rPr>
          <w:rFonts w:hint="default" w:ascii="宋体" w:hAnsi="Times New Roman" w:eastAsia="Times New Roman"/>
          <w:color w:val="000000" w:themeColor="text1"/>
          <w:position w:val="0"/>
          <w:sz w:val="28"/>
          <w:szCs w:val="28"/>
          <w:shd w:val="clear" w:color="000000" w:fill="FFFFFF"/>
        </w:rPr>
        <w:t>禁毒安全、交通安全、消防安全、食品安全、校舍安全、活动安全、宿舍安全、防溺水安全和防自然灾害安全等一系列安全教育活动，通过班会课、“致家长的一封信”等形式，提高师生和学生家长的自身保护能力及安全防范意识，进一步巩固校园及周边的安全。每学期第二周为学生安全教育周。学校重视卫生疾控管理，严格执行疫情报告制度。严格执行“食品卫生法”，严格控制食品购进渠道，保障食品质量，保证食堂环境卫生安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3.4.6 加强教研管理和队伍建设</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423"/>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，学校规范教研科研管理制度，经多方征求意见，制定《教师发展规划》、起草《教研科研管理办法》和《教研科研奖励暂行规定》，加强各类课题申报管理，开展专项课题研究工作，提炼学校办学特色。</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423"/>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3.4.7 提升“信息化校园”管理水平</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我校成立了由校长李映龙担任组长的“信息化校园”建设领导小组，全面提升“信息化校园”应用水平。我校先后与中国移动、中国联通、中国电信等多家公司合作建立了宿舍、教学区、实训区和公共区域网络全覆盖过程，实现无线网络全校覆盖。“信息化校园”建设现能满足学校两千多学生和一百多教师信息化多层次需要。</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eastAsia" w:ascii="宋体" w:eastAsia="宋体"/>
          <w:color w:val="000000" w:themeColor="text1"/>
          <w:position w:val="0"/>
          <w:sz w:val="28"/>
          <w:szCs w:val="28"/>
          <w:shd w:val="clear" w:color="000000" w:fill="FFFFFF"/>
          <w:lang w:val="en-US" w:eastAsia="zh-CN"/>
        </w:rPr>
        <w:t>2021年10月，学校</w:t>
      </w:r>
      <w:r>
        <w:rPr>
          <w:rFonts w:hint="default" w:ascii="宋体" w:hAnsi="Times New Roman" w:eastAsia="Times New Roman"/>
          <w:color w:val="000000" w:themeColor="text1"/>
          <w:position w:val="0"/>
          <w:sz w:val="28"/>
          <w:szCs w:val="28"/>
          <w:shd w:val="clear" w:color="000000" w:fill="FFFFFF"/>
        </w:rPr>
        <w:t>投入</w:t>
      </w:r>
      <w:r>
        <w:rPr>
          <w:rFonts w:hint="eastAsia" w:ascii="宋体" w:eastAsia="宋体"/>
          <w:color w:val="000000" w:themeColor="text1"/>
          <w:position w:val="0"/>
          <w:sz w:val="28"/>
          <w:szCs w:val="28"/>
          <w:shd w:val="clear" w:color="000000" w:fill="FFFFFF"/>
          <w:lang w:val="en-US" w:eastAsia="zh-CN"/>
        </w:rPr>
        <w:t>30</w:t>
      </w:r>
      <w:r>
        <w:rPr>
          <w:rFonts w:hint="eastAsia" w:ascii="宋体" w:eastAsia="宋体"/>
          <w:color w:val="000000" w:themeColor="text1"/>
          <w:position w:val="0"/>
          <w:sz w:val="28"/>
          <w:szCs w:val="28"/>
          <w:shd w:val="clear" w:color="000000" w:fill="FFFFFF"/>
          <w:lang w:eastAsia="zh-CN"/>
        </w:rPr>
        <w:t>余</w:t>
      </w:r>
      <w:r>
        <w:rPr>
          <w:rFonts w:hint="default" w:ascii="宋体" w:hAnsi="Times New Roman" w:eastAsia="Times New Roman"/>
          <w:color w:val="000000" w:themeColor="text1"/>
          <w:position w:val="0"/>
          <w:sz w:val="28"/>
          <w:szCs w:val="28"/>
          <w:shd w:val="clear" w:color="000000" w:fill="FFFFFF"/>
        </w:rPr>
        <w:t>万元</w:t>
      </w:r>
      <w:r>
        <w:rPr>
          <w:rFonts w:hint="eastAsia" w:ascii="宋体" w:eastAsia="宋体"/>
          <w:color w:val="000000" w:themeColor="text1"/>
          <w:position w:val="0"/>
          <w:sz w:val="28"/>
          <w:szCs w:val="28"/>
          <w:shd w:val="clear" w:color="000000" w:fill="FFFFFF"/>
          <w:lang w:eastAsia="zh-CN"/>
        </w:rPr>
        <w:t>，</w:t>
      </w:r>
      <w:r>
        <w:rPr>
          <w:rFonts w:hint="eastAsia" w:ascii="宋体" w:eastAsia="宋体"/>
          <w:color w:val="000000" w:themeColor="text1"/>
          <w:position w:val="0"/>
          <w:sz w:val="28"/>
          <w:szCs w:val="28"/>
          <w:shd w:val="clear" w:color="000000" w:fill="FFFFFF"/>
          <w:lang w:val="en-US" w:eastAsia="zh-CN"/>
        </w:rPr>
        <w:t>优化</w:t>
      </w:r>
      <w:r>
        <w:rPr>
          <w:rFonts w:hint="default" w:ascii="宋体" w:hAnsi="Times New Roman" w:eastAsia="Times New Roman"/>
          <w:color w:val="000000" w:themeColor="text1"/>
          <w:position w:val="0"/>
          <w:sz w:val="28"/>
          <w:szCs w:val="28"/>
          <w:shd w:val="clear" w:color="000000" w:fill="FFFFFF"/>
        </w:rPr>
        <w:t>了</w:t>
      </w:r>
      <w:r>
        <w:rPr>
          <w:rFonts w:hint="eastAsia" w:ascii="宋体" w:eastAsia="宋体"/>
          <w:color w:val="000000" w:themeColor="text1"/>
          <w:position w:val="0"/>
          <w:sz w:val="28"/>
          <w:szCs w:val="28"/>
          <w:shd w:val="clear" w:color="000000" w:fill="FFFFFF"/>
          <w:lang w:eastAsia="zh-CN"/>
        </w:rPr>
        <w:t>校门出入门禁系统，引入宿舍和教学楼人脸识别体系，强化家校沟通平台，提升学校信息化品质</w:t>
      </w:r>
      <w:r>
        <w:rPr>
          <w:rFonts w:hint="default" w:ascii="宋体" w:hAnsi="Times New Roman" w:eastAsia="Times New Roman"/>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3.5 德育工作情况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3.5.1 重视德育课程建设，加强学生思想政治教育</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学校一向重视德育课教学工作。全面贯彻</w:t>
      </w:r>
      <w:r>
        <w:rPr>
          <w:rFonts w:hint="eastAsia" w:ascii="宋体" w:eastAsia="宋体"/>
          <w:color w:val="000000" w:themeColor="text1"/>
          <w:position w:val="0"/>
          <w:sz w:val="28"/>
          <w:szCs w:val="28"/>
          <w:shd w:val="clear" w:color="000000" w:fill="FFFFFF"/>
          <w:lang w:eastAsia="zh-CN"/>
        </w:rPr>
        <w:t>立德树人的根本人数，落实</w:t>
      </w:r>
      <w:r>
        <w:rPr>
          <w:rFonts w:hint="default" w:ascii="宋体" w:hAnsi="Times New Roman" w:eastAsia="Times New Roman"/>
          <w:color w:val="000000" w:themeColor="text1"/>
          <w:position w:val="0"/>
          <w:sz w:val="28"/>
          <w:szCs w:val="28"/>
          <w:shd w:val="clear" w:color="000000" w:fill="FFFFFF"/>
        </w:rPr>
        <w:t>《教育部关于中等职业学校德育课课程设置与教学安排的意见》、《中等职业学校德育大纲》等，执行过程严格而不打折扣。教务科每周定期组织一次两小时的德育课教研活动，学习最新文件、研究有关问题、讨论教学疑点与难题等。老教师对青年教师进行一对一传帮带，学习气氛浓厚，互相听课、评点得失、共同进步。我校德育课按照国家大纲要求足量开设必修课程，在必修课中有根据国家形势发展进行时事政策教育，结合学校德育工作、学生社会实践、专业学习、顶岗实习进行预防艾滋病教育、毒品预防教育、环境教育、廉洁教育、安全教育等。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3.5.2 重视校园建设，丰富了校园文化活动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84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我校通过</w:t>
      </w:r>
      <w:r>
        <w:rPr>
          <w:rFonts w:hint="eastAsia" w:ascii="宋体" w:eastAsia="宋体"/>
          <w:color w:val="000000" w:themeColor="text1"/>
          <w:position w:val="0"/>
          <w:sz w:val="28"/>
          <w:szCs w:val="28"/>
          <w:shd w:val="clear" w:color="000000" w:fill="FFFFFF"/>
          <w:lang w:val="en-US" w:eastAsia="zh-CN"/>
        </w:rPr>
        <w:t>广播</w:t>
      </w:r>
      <w:r>
        <w:rPr>
          <w:rFonts w:hint="default" w:ascii="宋体" w:hAnsi="Times New Roman" w:eastAsia="Times New Roman"/>
          <w:color w:val="000000" w:themeColor="text1"/>
          <w:position w:val="0"/>
          <w:sz w:val="28"/>
          <w:szCs w:val="28"/>
          <w:shd w:val="clear" w:color="000000" w:fill="FFFFFF"/>
        </w:rPr>
        <w:t>讲话、校园艺术节、社会实践活动、文明班级、文明寝室流动红旗评比、学生</w:t>
      </w:r>
      <w:r>
        <w:rPr>
          <w:rFonts w:hint="eastAsia" w:ascii="宋体" w:eastAsia="宋体"/>
          <w:color w:val="000000" w:themeColor="text1"/>
          <w:position w:val="0"/>
          <w:sz w:val="28"/>
          <w:szCs w:val="28"/>
          <w:shd w:val="clear" w:color="000000" w:fill="FFFFFF"/>
          <w:lang w:val="en-US" w:eastAsia="zh-CN"/>
        </w:rPr>
        <w:t>拓展活动</w:t>
      </w:r>
      <w:r>
        <w:rPr>
          <w:rFonts w:hint="default" w:ascii="宋体" w:hAnsi="Times New Roman" w:eastAsia="Times New Roman"/>
          <w:color w:val="000000" w:themeColor="text1"/>
          <w:position w:val="0"/>
          <w:sz w:val="28"/>
          <w:szCs w:val="28"/>
          <w:shd w:val="clear" w:color="000000" w:fill="FFFFFF"/>
        </w:rPr>
        <w:t>、文化艺术节、技能节、月末晚会、球类运动会、毕业典礼暨双选会等主题活动的举办，进一步丰富校园文化生活。学校还通过新生入学教育和军训工作，帮助新生确定新的学习目标，注入新的学习动力。</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84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3.5.3 文明风采活动，成绩斐然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hAnsi="Times New Roman"/>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，根据《</w:t>
      </w:r>
      <w:r>
        <w:rPr>
          <w:rFonts w:hint="eastAsia" w:ascii="宋体" w:hAnsi="Times New Roman"/>
          <w:color w:val="000000" w:themeColor="text1"/>
          <w:position w:val="0"/>
          <w:sz w:val="28"/>
          <w:szCs w:val="28"/>
          <w:shd w:val="clear" w:color="000000" w:fill="FFFFFF"/>
          <w:lang w:val="en-US" w:eastAsia="zh-CN"/>
        </w:rPr>
        <w:t>成都市教育局</w:t>
      </w:r>
      <w:r>
        <w:rPr>
          <w:rFonts w:hint="default" w:ascii="宋体" w:hAnsi="Times New Roman" w:eastAsia="Times New Roman"/>
          <w:color w:val="000000" w:themeColor="text1"/>
          <w:position w:val="0"/>
          <w:sz w:val="28"/>
          <w:szCs w:val="28"/>
          <w:shd w:val="clear" w:color="000000" w:fill="FFFFFF"/>
        </w:rPr>
        <w:t>第十</w:t>
      </w:r>
      <w:r>
        <w:rPr>
          <w:rFonts w:hint="eastAsia" w:ascii="宋体" w:hAnsi="Times New Roman"/>
          <w:color w:val="000000" w:themeColor="text1"/>
          <w:position w:val="0"/>
          <w:sz w:val="28"/>
          <w:szCs w:val="28"/>
          <w:shd w:val="clear" w:color="000000" w:fill="FFFFFF"/>
          <w:lang w:val="en-US" w:eastAsia="zh-CN"/>
        </w:rPr>
        <w:t>二</w:t>
      </w:r>
      <w:r>
        <w:rPr>
          <w:rFonts w:hint="default" w:ascii="宋体" w:hAnsi="Times New Roman" w:eastAsia="Times New Roman"/>
          <w:color w:val="000000" w:themeColor="text1"/>
          <w:position w:val="0"/>
          <w:sz w:val="28"/>
          <w:szCs w:val="28"/>
          <w:shd w:val="clear" w:color="000000" w:fill="FFFFFF"/>
        </w:rPr>
        <w:t>届中职学校“文明风采”展示活动》的精神，我校创新学校德育工作形式，以竞赛形式推动活动育人，展示师生良好精神风貌和综合素养，呈现职业教育成果，增强职业教育吸引力。学校组织开展好了成都市中等职业学校“文明风采”大赛工作，营造了“人人参与”、“班班参与”的良好氛围。</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84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3.5.4 社团活动稳步推进</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840"/>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学校根据学生兴趣爱好，</w:t>
      </w:r>
      <w:r>
        <w:rPr>
          <w:rFonts w:hint="eastAsia" w:ascii="宋体" w:eastAsia="宋体"/>
          <w:color w:val="000000" w:themeColor="text1"/>
          <w:position w:val="0"/>
          <w:sz w:val="28"/>
          <w:szCs w:val="28"/>
          <w:shd w:val="clear" w:color="000000" w:fill="FFFFFF"/>
          <w:lang w:val="en-US" w:eastAsia="zh-CN"/>
        </w:rPr>
        <w:t>继续</w:t>
      </w:r>
      <w:r>
        <w:rPr>
          <w:rFonts w:hint="default" w:ascii="宋体" w:hAnsi="Times New Roman" w:eastAsia="Times New Roman"/>
          <w:color w:val="000000" w:themeColor="text1"/>
          <w:position w:val="0"/>
          <w:sz w:val="28"/>
          <w:szCs w:val="28"/>
          <w:shd w:val="clear" w:color="000000" w:fill="FFFFFF"/>
        </w:rPr>
        <w:t>组建</w:t>
      </w:r>
      <w:r>
        <w:rPr>
          <w:rFonts w:hint="eastAsia" w:ascii="宋体" w:eastAsia="宋体"/>
          <w:color w:val="000000" w:themeColor="text1"/>
          <w:position w:val="0"/>
          <w:sz w:val="28"/>
          <w:szCs w:val="28"/>
          <w:shd w:val="clear" w:color="000000" w:fill="FFFFFF"/>
          <w:lang w:eastAsia="zh-CN"/>
        </w:rPr>
        <w:t>的</w:t>
      </w:r>
      <w:r>
        <w:rPr>
          <w:rFonts w:hint="default" w:ascii="宋体" w:hAnsi="Times New Roman" w:eastAsia="Times New Roman"/>
          <w:color w:val="000000" w:themeColor="text1"/>
          <w:position w:val="0"/>
          <w:sz w:val="28"/>
          <w:szCs w:val="28"/>
          <w:shd w:val="clear" w:color="000000" w:fill="FFFFFF"/>
        </w:rPr>
        <w:t>“太极社团”、“跆拳道社团”、“书法绘画社团”、“拉丁舞社团”等</w:t>
      </w:r>
      <w:r>
        <w:rPr>
          <w:rFonts w:hint="eastAsia" w:ascii="宋体" w:eastAsia="宋体"/>
          <w:color w:val="000000" w:themeColor="text1"/>
          <w:position w:val="0"/>
          <w:sz w:val="28"/>
          <w:szCs w:val="28"/>
          <w:shd w:val="clear" w:color="000000" w:fill="FFFFFF"/>
          <w:lang w:val="en-US" w:eastAsia="zh-CN"/>
        </w:rPr>
        <w:t>18</w:t>
      </w:r>
      <w:r>
        <w:rPr>
          <w:rFonts w:hint="default" w:ascii="宋体" w:hAnsi="Times New Roman" w:eastAsia="Times New Roman"/>
          <w:color w:val="000000" w:themeColor="text1"/>
          <w:position w:val="0"/>
          <w:sz w:val="28"/>
          <w:szCs w:val="28"/>
          <w:shd w:val="clear" w:color="000000" w:fill="FFFFFF"/>
        </w:rPr>
        <w:t>各社团，全校近</w:t>
      </w:r>
      <w:r>
        <w:rPr>
          <w:rFonts w:hint="eastAsia" w:ascii="宋体" w:eastAsia="宋体"/>
          <w:color w:val="000000" w:themeColor="text1"/>
          <w:position w:val="0"/>
          <w:sz w:val="28"/>
          <w:szCs w:val="28"/>
          <w:shd w:val="clear" w:color="000000" w:fill="FFFFFF"/>
          <w:lang w:val="en-US" w:eastAsia="zh-CN"/>
        </w:rPr>
        <w:t>150</w:t>
      </w:r>
      <w:r>
        <w:rPr>
          <w:rFonts w:hint="default" w:ascii="宋体" w:hAnsi="Times New Roman" w:eastAsia="Times New Roman"/>
          <w:color w:val="000000" w:themeColor="text1"/>
          <w:position w:val="0"/>
          <w:sz w:val="28"/>
          <w:szCs w:val="28"/>
          <w:shd w:val="clear" w:color="000000" w:fill="FFFFFF"/>
        </w:rPr>
        <w:t>0人次报名参加，让学生的身心都得到了陶冶。各社团活动进一步营造良好校园文化氛围，为学生营造积极向上、清新高雅的校园文化氛围，帮助学生提高人文素养。</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3.6党建情况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我校党委成立于2003年10月，现有</w:t>
      </w:r>
      <w:r>
        <w:rPr>
          <w:rFonts w:hint="eastAsia" w:ascii="宋体" w:eastAsia="宋体"/>
          <w:color w:val="000000" w:themeColor="text1"/>
          <w:position w:val="0"/>
          <w:sz w:val="28"/>
          <w:szCs w:val="28"/>
          <w:shd w:val="clear" w:color="000000" w:fill="FFFFFF"/>
          <w:lang w:val="en-US" w:eastAsia="zh-CN"/>
        </w:rPr>
        <w:t>教师</w:t>
      </w:r>
      <w:r>
        <w:rPr>
          <w:rFonts w:hint="default" w:ascii="宋体" w:hAnsi="Times New Roman" w:eastAsia="Times New Roman"/>
          <w:color w:val="000000" w:themeColor="text1"/>
          <w:position w:val="0"/>
          <w:sz w:val="28"/>
          <w:szCs w:val="28"/>
          <w:shd w:val="clear" w:color="000000" w:fill="FFFFFF"/>
        </w:rPr>
        <w:t>党员</w:t>
      </w:r>
      <w:r>
        <w:rPr>
          <w:rFonts w:hint="eastAsia" w:ascii="宋体" w:eastAsia="宋体"/>
          <w:color w:val="000000" w:themeColor="text1"/>
          <w:position w:val="0"/>
          <w:sz w:val="28"/>
          <w:szCs w:val="28"/>
          <w:shd w:val="clear" w:color="000000" w:fill="FFFFFF"/>
          <w:lang w:val="en-US" w:eastAsia="zh-CN"/>
        </w:rPr>
        <w:t>34</w:t>
      </w:r>
      <w:r>
        <w:rPr>
          <w:rFonts w:hint="default" w:ascii="宋体" w:hAnsi="Times New Roman" w:eastAsia="Times New Roman"/>
          <w:color w:val="000000" w:themeColor="text1"/>
          <w:position w:val="0"/>
          <w:sz w:val="28"/>
          <w:szCs w:val="28"/>
          <w:shd w:val="clear" w:color="000000" w:fill="FFFFFF"/>
        </w:rPr>
        <w:t>人</w:t>
      </w:r>
      <w:r>
        <w:rPr>
          <w:rFonts w:hint="eastAsia" w:ascii="宋体" w:eastAsia="宋体"/>
          <w:color w:val="000000" w:themeColor="text1"/>
          <w:position w:val="0"/>
          <w:sz w:val="28"/>
          <w:szCs w:val="28"/>
          <w:shd w:val="clear" w:color="000000" w:fill="FFFFFF"/>
          <w:lang w:eastAsia="zh-CN"/>
        </w:rPr>
        <w:t>，</w:t>
      </w:r>
      <w:r>
        <w:rPr>
          <w:rFonts w:hint="default" w:ascii="宋体" w:hAnsi="Times New Roman" w:eastAsia="Times New Roman"/>
          <w:color w:val="000000" w:themeColor="text1"/>
          <w:position w:val="0"/>
          <w:sz w:val="28"/>
          <w:szCs w:val="28"/>
          <w:shd w:val="clear" w:color="000000" w:fill="FFFFFF"/>
        </w:rPr>
        <w:t>此外还负责教育管理流动党员（主要是人事关系挂靠人才市场）12名。党员干部教师数量占全校教职工总人数的一半以上。一年来，在全校党员干部教师的支持下，严格履行职责，团结一心，齐抓共管，积极做好学校各项工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eastAsia" w:ascii="宋体" w:hAnsi="Times New Roman" w:eastAsia="宋体"/>
          <w:color w:val="000000" w:themeColor="text1"/>
          <w:position w:val="0"/>
          <w:sz w:val="28"/>
          <w:szCs w:val="28"/>
          <w:lang w:eastAsia="zh-CN"/>
        </w:rPr>
      </w:pPr>
      <w:r>
        <w:rPr>
          <w:rFonts w:hint="default" w:ascii="宋体" w:hAnsi="Times New Roman" w:eastAsia="Times New Roman"/>
          <w:color w:val="000000" w:themeColor="text1"/>
          <w:position w:val="0"/>
          <w:sz w:val="28"/>
          <w:szCs w:val="28"/>
          <w:shd w:val="clear" w:color="000000" w:fill="FFFFFF"/>
        </w:rPr>
        <w:t>　　3.6.1 认真</w:t>
      </w:r>
      <w:r>
        <w:rPr>
          <w:rFonts w:hint="eastAsia" w:ascii="宋体" w:eastAsia="宋体"/>
          <w:color w:val="000000" w:themeColor="text1"/>
          <w:position w:val="0"/>
          <w:sz w:val="28"/>
          <w:szCs w:val="28"/>
          <w:shd w:val="clear" w:color="000000" w:fill="FFFFFF"/>
          <w:lang w:eastAsia="zh-CN"/>
        </w:rPr>
        <w:t>践行习近平新时代中国特色社会主义思想</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val="en-US" w:eastAsia="zh-CN"/>
        </w:rPr>
        <w:t xml:space="preserve">  </w:t>
      </w:r>
      <w:r>
        <w:rPr>
          <w:rFonts w:hint="default" w:ascii="宋体" w:hAnsi="Times New Roman" w:eastAsia="Times New Roman"/>
          <w:color w:val="000000" w:themeColor="text1"/>
          <w:position w:val="0"/>
          <w:sz w:val="28"/>
          <w:szCs w:val="28"/>
          <w:shd w:val="clear" w:color="000000" w:fill="FFFFFF"/>
        </w:rPr>
        <w:t>通过理论学习会等形式，专题组织中层以上党员干部和各支部书记集中学习</w:t>
      </w:r>
      <w:r>
        <w:rPr>
          <w:rFonts w:hint="eastAsia" w:ascii="宋体" w:eastAsia="宋体"/>
          <w:color w:val="000000" w:themeColor="text1"/>
          <w:position w:val="0"/>
          <w:sz w:val="28"/>
          <w:szCs w:val="28"/>
          <w:shd w:val="clear" w:color="000000" w:fill="FFFFFF"/>
          <w:lang w:eastAsia="zh-CN"/>
        </w:rPr>
        <w:t>习近平新时代中国特色社会主义思想</w:t>
      </w:r>
      <w:r>
        <w:rPr>
          <w:rFonts w:hint="default" w:ascii="宋体" w:hAnsi="Times New Roman" w:eastAsia="Times New Roman"/>
          <w:color w:val="000000" w:themeColor="text1"/>
          <w:position w:val="0"/>
          <w:sz w:val="28"/>
          <w:szCs w:val="28"/>
          <w:shd w:val="clear" w:color="000000" w:fill="FFFFFF"/>
        </w:rPr>
        <w:t>，要求全体党员干部尤其是中层以上干部要以《关于新形势下党内政治生活的若干准则》、《中国共产党党内监督条例》为引领，把学习贯彻相关精神和强力推进学校各项工作紧密结合起来，自觉当好党规党纪的坚定拥护者、模范执行者和有力监督者。党委全年组织专题学习</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次，撰写各类心得体会共</w:t>
      </w:r>
      <w:r>
        <w:rPr>
          <w:rFonts w:hint="eastAsia" w:ascii="宋体" w:eastAsia="宋体"/>
          <w:color w:val="000000" w:themeColor="text1"/>
          <w:position w:val="0"/>
          <w:sz w:val="28"/>
          <w:szCs w:val="28"/>
          <w:shd w:val="clear" w:color="000000" w:fill="FFFFFF"/>
          <w:lang w:val="en-US" w:eastAsia="zh-CN"/>
        </w:rPr>
        <w:t>26</w:t>
      </w:r>
      <w:r>
        <w:rPr>
          <w:rFonts w:hint="default" w:ascii="宋体" w:hAnsi="Times New Roman" w:eastAsia="Times New Roman"/>
          <w:color w:val="000000" w:themeColor="text1"/>
          <w:position w:val="0"/>
          <w:sz w:val="28"/>
          <w:szCs w:val="28"/>
          <w:shd w:val="clear" w:color="000000" w:fill="FFFFFF"/>
        </w:rPr>
        <w:t>篇。</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eastAsia" w:ascii="宋体" w:hAnsi="Times New Roman" w:eastAsia="宋体"/>
          <w:color w:val="000000" w:themeColor="text1"/>
          <w:position w:val="0"/>
          <w:sz w:val="28"/>
          <w:szCs w:val="28"/>
          <w:lang w:eastAsia="zh-CN"/>
        </w:rPr>
      </w:pPr>
      <w:r>
        <w:rPr>
          <w:rFonts w:hint="default" w:ascii="宋体" w:hAnsi="Times New Roman" w:eastAsia="Times New Roman"/>
          <w:color w:val="000000" w:themeColor="text1"/>
          <w:position w:val="0"/>
          <w:sz w:val="28"/>
          <w:szCs w:val="28"/>
          <w:shd w:val="clear" w:color="000000" w:fill="FFFFFF"/>
        </w:rPr>
        <w:t>　　3.6.2 积极深入开展“</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eastAsia="zh-CN"/>
        </w:rPr>
        <w:t>主题</w:t>
      </w:r>
      <w:r>
        <w:rPr>
          <w:rFonts w:hint="default" w:ascii="宋体" w:hAnsi="Times New Roman" w:eastAsia="Times New Roman"/>
          <w:color w:val="000000" w:themeColor="text1"/>
          <w:position w:val="0"/>
          <w:sz w:val="28"/>
          <w:szCs w:val="28"/>
          <w:shd w:val="clear" w:color="000000" w:fill="FFFFFF"/>
        </w:rPr>
        <w:t>教育</w:t>
      </w:r>
      <w:r>
        <w:rPr>
          <w:rFonts w:hint="eastAsia" w:ascii="宋体" w:eastAsia="宋体"/>
          <w:color w:val="000000" w:themeColor="text1"/>
          <w:position w:val="0"/>
          <w:sz w:val="28"/>
          <w:szCs w:val="28"/>
          <w:shd w:val="clear" w:color="000000" w:fill="FFFFFF"/>
          <w:lang w:eastAsia="zh-CN"/>
        </w:rPr>
        <w:t>活动</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加强组织领导，建立制度保障。成立了“</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”学习教育领导小组，印发《学习教育方案》，制定学校年度学习教育指导计划，各党支部结合实际制定支部学习计划，确保“</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”学习教育有序开展。学校领导带头，党员干部积极参与，每季度定期组织学习。专题讨论+理论学习，进一步提高广大党员干部教师的思想政治意识和党性觉悟。</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3.6.3 严格精准落实党风廉政建设主体责任</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党委认真落实了主体责任，把从严管党治党各项要求落到实处，认真履行抓党建工作职责，细化责任清单，按季度召开党建工作推进会，及时查找自身与班子成员在党建责任落实方面的问题，逐项制定整改措施，落实工作责任。进一步细化了党建工作目标责任，先后召开两次党委专题会议，研究部署党建工作推进。在此基础上，认真落实党风廉政建设主体责任，强力推进作风建设和正风肃纪工作。学校党委不断加强中层干部及党委委员的日常教育、监督和管理，指导和督促他们履行“一岗双责”，廉洁从政，管好自己，带好队伍。针对廉政风险重点防控部门的负责人，建立了季度谈话制度。</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3.6.4强化党建文化培育宣传</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一是构建一系列党建文化宣传平台。通过党员QQ群、支部微信群等传播手段，搭建党员学习交流和展示党建工作的平台，加强对优秀党建微信平台优秀案例转发力度。二是开展一系列党建文化活动。结合建党</w:t>
      </w:r>
      <w:r>
        <w:rPr>
          <w:rFonts w:hint="eastAsia" w:ascii="宋体" w:eastAsia="宋体"/>
          <w:color w:val="000000" w:themeColor="text1"/>
          <w:position w:val="0"/>
          <w:sz w:val="28"/>
          <w:szCs w:val="28"/>
          <w:shd w:val="clear" w:color="000000" w:fill="FFFFFF"/>
          <w:lang w:val="en-US" w:eastAsia="zh-CN"/>
        </w:rPr>
        <w:t>100</w:t>
      </w:r>
      <w:r>
        <w:rPr>
          <w:rFonts w:hint="default" w:ascii="宋体" w:hAnsi="Times New Roman" w:eastAsia="Times New Roman"/>
          <w:color w:val="000000" w:themeColor="text1"/>
          <w:position w:val="0"/>
          <w:sz w:val="28"/>
          <w:szCs w:val="28"/>
          <w:shd w:val="clear" w:color="000000" w:fill="FFFFFF"/>
        </w:rPr>
        <w:t>周年，举行“重温入党誓词，不忘入党初心”宣誓活动，开展党性锤炼和理想信念教育活动，增强党员的凝聚力和向心力。</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3.6.5大力夯实党建组织基础</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一是全面恢复“三会一课”制度。把开展“三会一课”作为“</w:t>
      </w:r>
      <w:r>
        <w:rPr>
          <w:rFonts w:hint="eastAsia" w:ascii="宋体" w:eastAsia="宋体"/>
          <w:color w:val="000000" w:themeColor="text1"/>
          <w:position w:val="0"/>
          <w:sz w:val="28"/>
          <w:szCs w:val="28"/>
          <w:shd w:val="clear" w:color="000000" w:fill="FFFFFF"/>
          <w:lang w:eastAsia="zh-CN"/>
        </w:rPr>
        <w:t>不忘初心、牢记使命</w:t>
      </w:r>
      <w:r>
        <w:rPr>
          <w:rFonts w:hint="default" w:ascii="宋体" w:hAnsi="Times New Roman" w:eastAsia="Times New Roman"/>
          <w:color w:val="000000" w:themeColor="text1"/>
          <w:position w:val="0"/>
          <w:sz w:val="28"/>
          <w:szCs w:val="28"/>
          <w:shd w:val="clear" w:color="000000" w:fill="FFFFFF"/>
        </w:rPr>
        <w:t>”学习教育的重要工作，严格按季度、按月份组织好支部党员大会、支部委员会、党小组会和党课，推动学习教育常态化。二是从严党费收缴。落实党费收缴专人负责制，结合党组织关系排查及时摸清党员基数，严格缴交标准。三是全面建立《党员基本信息登记表》、《支部活动记录册》，推进党员日常管理标准化、信息化。四是从严领导干部“双重”组织生活会制度。学校党委委员既要参加校党委领导班子的民主生活会，又要以普通党员身份参加所在党支部组织生活会。五是开展温暖党员行动。建立党员关爱激励机制。建立健全慰问困难党员和优秀党员、看望生病党员等关爱制度。</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3.6.6做好党员发展和党内表彰工作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42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结合党建日活动，评选表彰优秀共产党员</w:t>
      </w:r>
      <w:r>
        <w:rPr>
          <w:rFonts w:hint="eastAsia" w:ascii="宋体" w:eastAsia="宋体"/>
          <w:color w:val="000000" w:themeColor="text1"/>
          <w:position w:val="0"/>
          <w:sz w:val="28"/>
          <w:szCs w:val="28"/>
          <w:shd w:val="clear" w:color="000000" w:fill="FFFFFF"/>
          <w:lang w:val="en-US" w:eastAsia="zh-CN"/>
        </w:rPr>
        <w:t>5</w:t>
      </w:r>
      <w:r>
        <w:rPr>
          <w:rFonts w:hint="default" w:ascii="宋体" w:hAnsi="Times New Roman" w:eastAsia="Times New Roman"/>
          <w:color w:val="000000" w:themeColor="text1"/>
          <w:position w:val="0"/>
          <w:sz w:val="28"/>
          <w:szCs w:val="28"/>
          <w:shd w:val="clear" w:color="000000" w:fill="FFFFFF"/>
        </w:rPr>
        <w:t>名。</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2"/>
        <w:jc w:val="both"/>
        <w:textAlignment w:val="auto"/>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4.校企合作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4.1校企合作开展情况和效果</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4.1.1开发教学资源库，增强教学实效性</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企业与学校紧密合作，开发了教学资源库，打造了一支由专任教师和兼职教师组成的结构合理的技能教学团队。</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一方面，</w:t>
      </w:r>
      <w:r>
        <w:rPr>
          <w:rFonts w:hint="eastAsia" w:ascii="宋体" w:eastAsia="宋体"/>
          <w:color w:val="000000" w:themeColor="text1"/>
          <w:position w:val="0"/>
          <w:sz w:val="28"/>
          <w:szCs w:val="28"/>
          <w:shd w:val="clear" w:color="000000" w:fill="FFFFFF"/>
          <w:lang w:eastAsia="zh-CN"/>
        </w:rPr>
        <w:t>继续与</w:t>
      </w:r>
      <w:r>
        <w:rPr>
          <w:rFonts w:hint="default" w:ascii="宋体" w:hAnsi="Times New Roman" w:eastAsia="Times New Roman"/>
          <w:color w:val="000000" w:themeColor="text1"/>
          <w:position w:val="0"/>
          <w:sz w:val="28"/>
          <w:szCs w:val="28"/>
          <w:shd w:val="clear" w:color="000000" w:fill="FFFFFF"/>
        </w:rPr>
        <w:t>四川顺丰速递公司</w:t>
      </w:r>
      <w:r>
        <w:rPr>
          <w:rFonts w:hint="eastAsia" w:ascii="宋体" w:eastAsia="宋体"/>
          <w:color w:val="000000" w:themeColor="text1"/>
          <w:position w:val="0"/>
          <w:sz w:val="28"/>
          <w:szCs w:val="28"/>
          <w:shd w:val="clear" w:color="000000" w:fill="FFFFFF"/>
          <w:lang w:eastAsia="zh-CN"/>
        </w:rPr>
        <w:t>合作，引进</w:t>
      </w:r>
      <w:r>
        <w:rPr>
          <w:rFonts w:hint="default" w:ascii="宋体" w:hAnsi="Times New Roman" w:eastAsia="Times New Roman"/>
          <w:color w:val="000000" w:themeColor="text1"/>
          <w:position w:val="0"/>
          <w:sz w:val="28"/>
          <w:szCs w:val="28"/>
          <w:shd w:val="clear" w:color="000000" w:fill="FFFFFF"/>
        </w:rPr>
        <w:t>企业兼职教师进入课堂教学，将企业的职业精神带入课堂。另一方面，根据工作岗位特点和项目教学的流程，通过师傅手把手传授各种专业知识和技能，推行现代学徒制培养模式，到后期实训学生已能初步完成岗位日常工作。通过这些专业技能的学习和实训，实训学生将学校所学知识和社会实际需要相结合，巩固所学知识，提高职业综合素质，为今后工作打下基础。</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4.1.2 实现校企合作双方的互利共赢</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，分批组织学生参与到企业“六一八”、“双十一 ”的大战中，</w:t>
      </w:r>
      <w:r>
        <w:rPr>
          <w:rFonts w:hint="eastAsia" w:ascii="宋体" w:eastAsia="宋体"/>
          <w:color w:val="000000" w:themeColor="text1"/>
          <w:position w:val="0"/>
          <w:sz w:val="28"/>
          <w:szCs w:val="28"/>
          <w:shd w:val="clear" w:color="000000" w:fill="FFFFFF"/>
          <w:lang w:eastAsia="zh-CN"/>
        </w:rPr>
        <w:t>既</w:t>
      </w:r>
      <w:r>
        <w:rPr>
          <w:rFonts w:hint="default" w:ascii="宋体" w:hAnsi="Times New Roman" w:eastAsia="Times New Roman"/>
          <w:color w:val="000000" w:themeColor="text1"/>
          <w:position w:val="0"/>
          <w:sz w:val="28"/>
          <w:szCs w:val="28"/>
          <w:shd w:val="clear" w:color="000000" w:fill="FFFFFF"/>
        </w:rPr>
        <w:t>锻炼了学生的职业能力又给企业带来了效益。截止目前，我校已与</w:t>
      </w:r>
      <w:r>
        <w:rPr>
          <w:rFonts w:hint="eastAsia" w:ascii="宋体" w:eastAsia="宋体"/>
          <w:color w:val="000000" w:themeColor="text1"/>
          <w:position w:val="0"/>
          <w:sz w:val="28"/>
          <w:szCs w:val="28"/>
          <w:shd w:val="clear" w:color="000000" w:fill="FFFFFF"/>
          <w:lang w:val="en-US" w:eastAsia="zh-CN"/>
        </w:rPr>
        <w:t>11</w:t>
      </w:r>
      <w:r>
        <w:rPr>
          <w:rFonts w:hint="default" w:ascii="宋体" w:hAnsi="Times New Roman" w:eastAsia="Times New Roman"/>
          <w:color w:val="000000" w:themeColor="text1"/>
          <w:position w:val="0"/>
          <w:sz w:val="28"/>
          <w:szCs w:val="28"/>
          <w:shd w:val="clear" w:color="000000" w:fill="FFFFFF"/>
        </w:rPr>
        <w:t>家企业建立了校外公共实训基地，为学生的实习创造了良好的条件，通过校企合作达到了合作双方共赢的局面。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 学生实习情况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4.2.1将实习安排纳入人才培养方案和教学计划</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生实习是实现职业教育培养目标，增强学生综合能力的基本环节，是教育教学的核心部分。我校坚持将实习安排纳入学校人才培养方案和教学计划，重视理论与实践相结合，加强校企协同育人，提高技术技能人才培养质量和就业创业能力，将职业精神养成教育贯穿学生实习全过程。</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4.2.2严格依照实习管理制度组织实施顶岗实习</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制定了《顶岗实习学生守则》、《学生顶岗实习管理流程》、《学生顶岗实习管理细则》、《学生顶岗实习期间班主任工作职责》、《学生顶岗实习优先推荐规定》、《学生顶岗实习安全汇报制度》、《学生毕业实习评价方案》等一系列规章制度。</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严格执行学生实习管理相关规定，完善学生实习材料并存档。一方面，学校与家长、学生都面签了《学生顶岗实习协议书》、《学生校外定岗实习安全协议书》、《实习申请书》。另一方面，学校与实习单位签订了《校企学生顶岗实习协议书》，实习单位在《实习推荐表》、《实习接收函》上签章，并交实习单位营业执照复印件，由学校存档。</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4.2.3与实习单位共同加强实习过程管理。</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一是由李问军</w:t>
      </w:r>
      <w:r>
        <w:rPr>
          <w:rFonts w:hint="eastAsia" w:ascii="宋体" w:eastAsia="宋体"/>
          <w:color w:val="000000" w:themeColor="text1"/>
          <w:position w:val="0"/>
          <w:sz w:val="28"/>
          <w:szCs w:val="28"/>
          <w:shd w:val="clear" w:color="000000" w:fill="FFFFFF"/>
          <w:lang w:eastAsia="zh-CN"/>
        </w:rPr>
        <w:t>执行</w:t>
      </w:r>
      <w:r>
        <w:rPr>
          <w:rFonts w:hint="default" w:ascii="宋体" w:hAnsi="Times New Roman" w:eastAsia="Times New Roman"/>
          <w:color w:val="000000" w:themeColor="text1"/>
          <w:position w:val="0"/>
          <w:sz w:val="28"/>
          <w:szCs w:val="28"/>
          <w:shd w:val="clear" w:color="000000" w:fill="FFFFFF"/>
        </w:rPr>
        <w:t>校长带队，多次深入实习单位调研，与企业代表、学生代表开展座谈，落实教育部《职业学校实习管理》各项事宜。二是向实习单位及实习学生发放实习情况调查问卷</w:t>
      </w:r>
      <w:r>
        <w:rPr>
          <w:rFonts w:hint="eastAsia" w:ascii="宋体" w:eastAsia="宋体"/>
          <w:color w:val="000000" w:themeColor="text1"/>
          <w:position w:val="0"/>
          <w:sz w:val="28"/>
          <w:szCs w:val="28"/>
          <w:shd w:val="clear" w:color="000000" w:fill="FFFFFF"/>
          <w:lang w:val="en-US" w:eastAsia="zh-CN"/>
        </w:rPr>
        <w:t>300</w:t>
      </w:r>
      <w:r>
        <w:rPr>
          <w:rFonts w:hint="default" w:ascii="宋体" w:hAnsi="Times New Roman" w:eastAsia="Times New Roman"/>
          <w:color w:val="000000" w:themeColor="text1"/>
          <w:position w:val="0"/>
          <w:sz w:val="28"/>
          <w:szCs w:val="28"/>
          <w:shd w:val="clear" w:color="000000" w:fill="FFFFFF"/>
        </w:rPr>
        <w:t>余份，调查内容包含：实习环境、专业岗位、工作强度、薪资报酬、专业对口等，在回收问卷表逐一检查后，未发现有违反《职业学校学生实习管理规定》的情况。三是充分运用现代信息技术，构建实习信息化管理平台。就业部门组建了实习单位及学生的微信群、QQ群，加强学校和实习企业及学生的沟通，及时发现和解决问题。</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4.3集团化办学情况</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，学校继续参加成都市学前教育协会、财经商贸集团、</w:t>
      </w:r>
      <w:r>
        <w:rPr>
          <w:rFonts w:hint="eastAsia" w:ascii="宋体" w:eastAsia="宋体"/>
          <w:color w:val="000000" w:themeColor="text1"/>
          <w:position w:val="0"/>
          <w:sz w:val="28"/>
          <w:szCs w:val="28"/>
          <w:shd w:val="clear" w:color="000000" w:fill="FFFFFF"/>
          <w:lang w:val="en-US" w:eastAsia="zh-CN"/>
        </w:rPr>
        <w:t>汽车</w:t>
      </w:r>
      <w:r>
        <w:rPr>
          <w:rFonts w:hint="default" w:ascii="宋体" w:hAnsi="Times New Roman" w:eastAsia="Times New Roman"/>
          <w:color w:val="000000" w:themeColor="text1"/>
          <w:position w:val="0"/>
          <w:sz w:val="28"/>
          <w:szCs w:val="28"/>
          <w:shd w:val="clear" w:color="000000" w:fill="FFFFFF"/>
        </w:rPr>
        <w:t>协会等教育集团，充分利用教育集团的优势资源，加强学校与行业、企业和社会团体的合作，通过集团化办学，在资源共享、优势互补、校企合作、互惠共赢等方面彰显出强大的生命力，取得了初步的成效。　</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一年来，学校坚持为成都产业转型升级服务，为发展实体经济服务，以促进学生就业为导向，积极搭建校企合作的有效平台，致力于建立促进校企合作的长效运行机制，为推进职业教育校企合作向纵深发展做出了一定的贡献。</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000000" w:themeColor="text1"/>
          <w:position w:val="0"/>
          <w:sz w:val="28"/>
          <w:szCs w:val="28"/>
          <w:shd w:val="clear" w:color="000000" w:fill="FFFFFF"/>
        </w:rPr>
        <w:t>5.社会贡献</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5.1人才培养和用人单位满意度</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1"/>
        <w:jc w:val="both"/>
        <w:textAlignment w:val="auto"/>
        <w:rPr>
          <w:rFonts w:hint="default" w:ascii="宋体" w:hAnsi="Times New Roman" w:eastAsia="Times New Roman"/>
          <w:color w:val="000000" w:themeColor="text1"/>
          <w:position w:val="0"/>
          <w:sz w:val="28"/>
          <w:szCs w:val="28"/>
          <w:shd w:val="clear" w:color="000000" w:fill="FFFFFF"/>
        </w:rPr>
      </w:pP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1</w:t>
      </w:r>
      <w:r>
        <w:rPr>
          <w:rFonts w:hint="eastAsia" w:ascii="宋体" w:eastAsia="宋体"/>
          <w:color w:val="000000" w:themeColor="text1"/>
          <w:position w:val="0"/>
          <w:sz w:val="28"/>
          <w:szCs w:val="28"/>
          <w:shd w:val="clear" w:color="000000" w:fill="FFFFFF"/>
          <w:lang w:val="en-US" w:eastAsia="zh-CN"/>
        </w:rPr>
        <w:t>1</w:t>
      </w:r>
      <w:r>
        <w:rPr>
          <w:rFonts w:hint="default" w:ascii="宋体" w:hAnsi="Times New Roman" w:eastAsia="Times New Roman"/>
          <w:color w:val="000000" w:themeColor="text1"/>
          <w:position w:val="0"/>
          <w:sz w:val="28"/>
          <w:szCs w:val="28"/>
          <w:shd w:val="clear" w:color="000000" w:fill="FFFFFF"/>
        </w:rPr>
        <w:t>月，学校就业办、学生处对</w:t>
      </w:r>
      <w:r>
        <w:rPr>
          <w:rFonts w:hint="eastAsia" w:ascii="宋体" w:eastAsia="宋体"/>
          <w:color w:val="000000" w:themeColor="text1"/>
          <w:position w:val="0"/>
          <w:sz w:val="28"/>
          <w:szCs w:val="28"/>
          <w:shd w:val="clear" w:color="000000" w:fill="FFFFFF"/>
          <w:lang w:val="en-US" w:eastAsia="zh-CN"/>
        </w:rPr>
        <w:t>成都地铁、</w:t>
      </w:r>
      <w:r>
        <w:rPr>
          <w:rFonts w:hint="default" w:ascii="宋体" w:hAnsi="Times New Roman" w:eastAsia="Times New Roman"/>
          <w:color w:val="000000" w:themeColor="text1"/>
          <w:position w:val="0"/>
          <w:sz w:val="28"/>
          <w:szCs w:val="28"/>
          <w:shd w:val="clear" w:color="000000" w:fill="FFFFFF"/>
        </w:rPr>
        <w:t>成都红星幼儿园、西南交通大学幼儿园、西南财经大学幼儿园、棠湖小学幼儿园、华宇物流集团、、成都启蒙幼儿园、成都华阳中心幼儿园、光大旅行社(成都)、成都金苹果国际幼稚园、苏州宏利来服饰有限公司、成都商业银行、中通信息服务有限公司、一汽奥迪集团四川分公司等聘用我校顶岗实习学生较多的</w:t>
      </w:r>
      <w:r>
        <w:rPr>
          <w:rFonts w:hint="eastAsia" w:ascii="宋体" w:eastAsia="宋体"/>
          <w:color w:val="000000" w:themeColor="text1"/>
          <w:position w:val="0"/>
          <w:sz w:val="28"/>
          <w:szCs w:val="28"/>
          <w:shd w:val="clear" w:color="000000" w:fill="FFFFFF"/>
          <w:lang w:val="en-US" w:eastAsia="zh-CN"/>
        </w:rPr>
        <w:t>50</w:t>
      </w:r>
      <w:r>
        <w:rPr>
          <w:rFonts w:hint="default" w:ascii="宋体" w:hAnsi="Times New Roman" w:eastAsia="Times New Roman"/>
          <w:color w:val="000000" w:themeColor="text1"/>
          <w:position w:val="0"/>
          <w:sz w:val="28"/>
          <w:szCs w:val="28"/>
          <w:shd w:val="clear" w:color="000000" w:fill="FFFFFF"/>
        </w:rPr>
        <w:t>家企业发放调查问卷，收回有效答卷</w:t>
      </w:r>
      <w:r>
        <w:rPr>
          <w:rFonts w:hint="eastAsia" w:ascii="宋体" w:eastAsia="宋体"/>
          <w:color w:val="000000" w:themeColor="text1"/>
          <w:position w:val="0"/>
          <w:sz w:val="28"/>
          <w:szCs w:val="28"/>
          <w:shd w:val="clear" w:color="000000" w:fill="FFFFFF"/>
          <w:lang w:val="en-US" w:eastAsia="zh-CN"/>
        </w:rPr>
        <w:t>410余</w:t>
      </w:r>
      <w:r>
        <w:rPr>
          <w:rFonts w:hint="default" w:ascii="宋体" w:hAnsi="Times New Roman" w:eastAsia="Times New Roman"/>
          <w:color w:val="000000" w:themeColor="text1"/>
          <w:position w:val="0"/>
          <w:sz w:val="28"/>
          <w:szCs w:val="28"/>
          <w:shd w:val="clear" w:color="000000" w:fill="FFFFFF"/>
        </w:rPr>
        <w:t>份，用人单位满意度超过</w:t>
      </w:r>
      <w:r>
        <w:rPr>
          <w:rFonts w:hint="eastAsia" w:ascii="宋体" w:eastAsia="宋体"/>
          <w:color w:val="000000" w:themeColor="text1"/>
          <w:position w:val="0"/>
          <w:sz w:val="28"/>
          <w:szCs w:val="28"/>
          <w:shd w:val="clear" w:color="000000" w:fill="FFFFFF"/>
          <w:lang w:val="en-US" w:eastAsia="zh-CN"/>
        </w:rPr>
        <w:t>93</w:t>
      </w:r>
      <w:r>
        <w:rPr>
          <w:rFonts w:hint="default" w:ascii="宋体" w:hAnsi="Times New Roman" w:eastAsia="Times New Roman"/>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2811"/>
        <w:jc w:val="both"/>
        <w:textAlignment w:val="auto"/>
        <w:rPr>
          <w:rFonts w:hint="default" w:ascii="宋体" w:hAnsi="Times New Roman" w:eastAsia="Times New Roman"/>
          <w:b/>
          <w:color w:val="000000" w:themeColor="text1"/>
          <w:position w:val="0"/>
          <w:sz w:val="28"/>
          <w:szCs w:val="28"/>
          <w:shd w:val="clear" w:color="000000" w:fill="FFFFFF"/>
        </w:rPr>
      </w:pPr>
      <w:r>
        <w:rPr>
          <w:rFonts w:hint="default" w:ascii="宋体" w:hAnsi="Times New Roman" w:eastAsia="Times New Roman"/>
          <w:b/>
          <w:color w:val="000000" w:themeColor="text1"/>
          <w:position w:val="0"/>
          <w:sz w:val="28"/>
          <w:szCs w:val="28"/>
          <w:shd w:val="clear" w:color="000000" w:fill="FFFFFF"/>
        </w:rPr>
        <w:t>表</w:t>
      </w:r>
      <w:r>
        <w:rPr>
          <w:rFonts w:hint="eastAsia" w:ascii="宋体" w:eastAsia="宋体"/>
          <w:b/>
          <w:color w:val="000000" w:themeColor="text1"/>
          <w:position w:val="0"/>
          <w:sz w:val="28"/>
          <w:szCs w:val="28"/>
          <w:shd w:val="clear" w:color="000000" w:fill="FFFFFF"/>
          <w:lang w:eastAsia="zh-CN"/>
        </w:rPr>
        <w:t>八</w:t>
      </w:r>
      <w:r>
        <w:rPr>
          <w:rFonts w:hint="default" w:ascii="宋体" w:hAnsi="Times New Roman" w:eastAsia="Times New Roman"/>
          <w:b/>
          <w:color w:val="000000" w:themeColor="text1"/>
          <w:position w:val="0"/>
          <w:sz w:val="28"/>
          <w:szCs w:val="28"/>
          <w:shd w:val="clear" w:color="000000" w:fill="FFFFFF"/>
        </w:rPr>
        <w:t>：</w:t>
      </w:r>
      <w:r>
        <w:rPr>
          <w:rFonts w:hint="eastAsia" w:ascii="宋体" w:eastAsia="宋体"/>
          <w:b/>
          <w:color w:val="000000" w:themeColor="text1"/>
          <w:position w:val="0"/>
          <w:sz w:val="28"/>
          <w:szCs w:val="28"/>
          <w:shd w:val="clear" w:color="000000" w:fill="FFFFFF"/>
          <w:lang w:eastAsia="zh-CN"/>
        </w:rPr>
        <w:t>2021年</w:t>
      </w:r>
      <w:r>
        <w:rPr>
          <w:rFonts w:hint="default" w:ascii="宋体" w:hAnsi="Times New Roman" w:eastAsia="Times New Roman"/>
          <w:b/>
          <w:color w:val="000000" w:themeColor="text1"/>
          <w:position w:val="0"/>
          <w:sz w:val="28"/>
          <w:szCs w:val="28"/>
          <w:shd w:val="clear" w:color="000000" w:fill="FFFFFF"/>
        </w:rPr>
        <w:t>就业满意度饼状图</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1"/>
        <w:jc w:val="both"/>
        <w:textAlignment w:val="auto"/>
        <w:rPr>
          <w:rFonts w:hint="default" w:ascii="宋体" w:hAnsi="Times New Roman" w:eastAsia="Times New Roman"/>
          <w:color w:val="000000" w:themeColor="text1"/>
          <w:position w:val="0"/>
          <w:sz w:val="28"/>
          <w:szCs w:val="28"/>
          <w:shd w:val="clear" w:color="000000" w:fill="FFFFFF"/>
        </w:rPr>
      </w:pPr>
      <w:r>
        <w:drawing>
          <wp:inline distT="0" distB="0" distL="0" distR="0">
            <wp:extent cx="5703570" cy="2540000"/>
            <wp:effectExtent l="4445" t="4445" r="6985" b="8255"/>
            <wp:docPr id="3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1"/>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从对用人单位的调查可以看出，企业对学生的整体评价满意度及学校就业工作的整体满意度较高。对比上一年的相关数据，用人单位对我校201</w:t>
      </w:r>
      <w:r>
        <w:rPr>
          <w:rFonts w:hint="eastAsia" w:ascii="宋体" w:eastAsia="宋体"/>
          <w:color w:val="000000" w:themeColor="text1"/>
          <w:position w:val="0"/>
          <w:sz w:val="28"/>
          <w:szCs w:val="28"/>
          <w:shd w:val="clear" w:color="000000" w:fill="FFFFFF"/>
          <w:lang w:val="en-US" w:eastAsia="zh-CN"/>
        </w:rPr>
        <w:t>9</w:t>
      </w:r>
      <w:r>
        <w:rPr>
          <w:rFonts w:hint="default" w:ascii="宋体" w:hAnsi="Times New Roman" w:eastAsia="Times New Roman"/>
          <w:color w:val="000000" w:themeColor="text1"/>
          <w:position w:val="0"/>
          <w:sz w:val="28"/>
          <w:szCs w:val="28"/>
          <w:shd w:val="clear" w:color="000000" w:fill="FFFFFF"/>
        </w:rPr>
        <w:t>年级顶岗实习生诚信守约情况的评价有显著提升，这证明经过学校岗前教育，学生信守合约的意识有较大提高。同时，调查也反映出，学生在工作能力、吃苦耐劳精神、语言沟通能力、承受工作压力的能力及适应能力上有一定欠缺，这和学生自身专业技能水平不高有关，也和社会大环境、学校教育、家庭教育有一定关联。</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5.2社会服务。</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eastAsia" w:ascii="宋体" w:hAnsi="Times New Roman" w:eastAsia="宋体"/>
          <w:color w:val="000000" w:themeColor="text1"/>
          <w:position w:val="0"/>
          <w:sz w:val="28"/>
          <w:szCs w:val="28"/>
          <w:lang w:val="en-US" w:eastAsia="zh-CN"/>
        </w:rPr>
      </w:pPr>
      <w:r>
        <w:rPr>
          <w:rFonts w:hint="default" w:ascii="宋体" w:hAnsi="Times New Roman" w:eastAsia="Times New Roman"/>
          <w:color w:val="000000" w:themeColor="text1"/>
          <w:position w:val="0"/>
          <w:sz w:val="28"/>
          <w:szCs w:val="28"/>
          <w:shd w:val="clear" w:color="000000" w:fill="FFFFFF"/>
        </w:rPr>
        <w:t>　　5.2.1积极开展系列培训</w:t>
      </w:r>
      <w:r>
        <w:rPr>
          <w:rFonts w:hint="eastAsia" w:ascii="宋体" w:eastAsia="宋体"/>
          <w:color w:val="000000" w:themeColor="text1"/>
          <w:position w:val="0"/>
          <w:sz w:val="28"/>
          <w:szCs w:val="28"/>
          <w:shd w:val="clear" w:color="000000" w:fill="FFFFFF"/>
          <w:lang w:val="en-US" w:eastAsia="zh-CN"/>
        </w:rPr>
        <w:t>考试</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，学校面向社会在蒙德梭利早教资格、快点速运员、政府消防员、保育员、英语等开展了职业技能培训</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00</w:t>
      </w:r>
      <w:r>
        <w:rPr>
          <w:rFonts w:hint="eastAsia" w:ascii="宋体" w:eastAsia="宋体"/>
          <w:color w:val="000000" w:themeColor="text1"/>
          <w:position w:val="0"/>
          <w:sz w:val="28"/>
          <w:szCs w:val="28"/>
          <w:shd w:val="clear" w:color="000000" w:fill="FFFFFF"/>
          <w:lang w:val="en-US" w:eastAsia="zh-CN"/>
        </w:rPr>
        <w:t>余</w:t>
      </w:r>
      <w:r>
        <w:rPr>
          <w:rFonts w:hint="default" w:ascii="宋体" w:hAnsi="Times New Roman" w:eastAsia="Times New Roman"/>
          <w:color w:val="000000" w:themeColor="text1"/>
          <w:position w:val="0"/>
          <w:sz w:val="28"/>
          <w:szCs w:val="28"/>
          <w:shd w:val="clear" w:color="000000" w:fill="FFFFFF"/>
        </w:rPr>
        <w:t>人次，并开设了成人高考、教师资格证培训班、</w:t>
      </w:r>
      <w:r>
        <w:rPr>
          <w:rFonts w:hint="eastAsia" w:ascii="宋体" w:eastAsia="宋体"/>
          <w:color w:val="000000" w:themeColor="text1"/>
          <w:position w:val="0"/>
          <w:sz w:val="28"/>
          <w:szCs w:val="28"/>
          <w:shd w:val="clear" w:color="000000" w:fill="FFFFFF"/>
          <w:lang w:eastAsia="zh-CN"/>
        </w:rPr>
        <w:t>保育员、</w:t>
      </w:r>
      <w:r>
        <w:rPr>
          <w:rFonts w:hint="default" w:ascii="宋体" w:hAnsi="Times New Roman" w:eastAsia="Times New Roman"/>
          <w:color w:val="000000" w:themeColor="text1"/>
          <w:position w:val="0"/>
          <w:sz w:val="28"/>
          <w:szCs w:val="28"/>
          <w:shd w:val="clear" w:color="000000" w:fill="FFFFFF"/>
        </w:rPr>
        <w:t>会计员职业资格考前辅导等，取得良好社会效益。</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5.2.2组织好各类考试</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　　我校是国家职业技能鉴定所，并作为考场，</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，承接了四川省语委、成都市劳动局等多家单位委托的普通话测试、保育员测试和计算机操作员考试和各级各类行业考试</w:t>
      </w:r>
      <w:r>
        <w:rPr>
          <w:rFonts w:hint="eastAsia" w:ascii="宋体" w:eastAsia="宋体"/>
          <w:color w:val="000000" w:themeColor="text1"/>
          <w:position w:val="0"/>
          <w:sz w:val="28"/>
          <w:szCs w:val="28"/>
          <w:shd w:val="clear" w:color="000000" w:fill="FFFFFF"/>
          <w:lang w:val="en-US" w:eastAsia="zh-CN"/>
        </w:rPr>
        <w:t>10</w:t>
      </w:r>
      <w:r>
        <w:rPr>
          <w:rFonts w:hint="default" w:ascii="宋体" w:hAnsi="Times New Roman" w:eastAsia="Times New Roman"/>
          <w:color w:val="000000" w:themeColor="text1"/>
          <w:position w:val="0"/>
          <w:sz w:val="28"/>
          <w:szCs w:val="28"/>
          <w:shd w:val="clear" w:color="000000" w:fill="FFFFFF"/>
        </w:rPr>
        <w:t>多场次，服务考生</w:t>
      </w:r>
      <w:r>
        <w:rPr>
          <w:rFonts w:hint="eastAsia" w:ascii="宋体" w:eastAsia="宋体"/>
          <w:color w:val="000000" w:themeColor="text1"/>
          <w:position w:val="0"/>
          <w:sz w:val="28"/>
          <w:szCs w:val="28"/>
          <w:shd w:val="clear" w:color="000000" w:fill="FFFFFF"/>
          <w:lang w:val="en-US" w:eastAsia="zh-CN"/>
        </w:rPr>
        <w:t>7</w:t>
      </w:r>
      <w:r>
        <w:rPr>
          <w:rFonts w:hint="default" w:ascii="宋体" w:hAnsi="Times New Roman" w:eastAsia="Times New Roman"/>
          <w:color w:val="000000" w:themeColor="text1"/>
          <w:position w:val="0"/>
          <w:sz w:val="28"/>
          <w:szCs w:val="28"/>
          <w:shd w:val="clear" w:color="000000" w:fill="FFFFFF"/>
        </w:rPr>
        <w:t>00多人次，保证考务工作正常有序、服务规范到位无差错。</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2"/>
        <w:jc w:val="both"/>
        <w:textAlignment w:val="auto"/>
        <w:rPr>
          <w:rFonts w:hint="default" w:ascii="宋体" w:hAnsi="Times New Roman" w:eastAsia="Times New Roman"/>
          <w:b/>
          <w:color w:val="000000" w:themeColor="text1"/>
          <w:position w:val="0"/>
          <w:sz w:val="28"/>
          <w:szCs w:val="28"/>
        </w:rPr>
      </w:pPr>
      <w:r>
        <w:rPr>
          <w:rFonts w:hint="default" w:ascii="宋体" w:hAnsi="Times New Roman" w:eastAsia="Times New Roman"/>
          <w:b/>
          <w:color w:val="000000" w:themeColor="text1"/>
          <w:position w:val="0"/>
          <w:sz w:val="28"/>
          <w:szCs w:val="28"/>
          <w:shd w:val="clear" w:color="000000" w:fill="FFFFFF"/>
        </w:rPr>
        <w:t>6.举办者履责</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6.1经费</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学校未获得中央和地方财政投入的任何经费，学校生均投入资金</w:t>
      </w:r>
      <w:r>
        <w:rPr>
          <w:rFonts w:hint="eastAsia" w:ascii="宋体" w:eastAsia="宋体"/>
          <w:color w:val="000000" w:themeColor="text1"/>
          <w:position w:val="0"/>
          <w:sz w:val="28"/>
          <w:szCs w:val="28"/>
          <w:shd w:val="clear" w:color="000000" w:fill="FFFFFF"/>
          <w:lang w:val="en-US" w:eastAsia="zh-CN"/>
        </w:rPr>
        <w:t>1300余</w:t>
      </w:r>
      <w:r>
        <w:rPr>
          <w:rFonts w:hint="default" w:ascii="宋体" w:hAnsi="Times New Roman" w:eastAsia="Times New Roman"/>
          <w:color w:val="000000" w:themeColor="text1"/>
          <w:position w:val="0"/>
          <w:sz w:val="28"/>
          <w:szCs w:val="28"/>
          <w:shd w:val="clear" w:color="000000" w:fill="FFFFFF"/>
        </w:rPr>
        <w:t>元，为保证人才培养目标，积极推动职业教育发展，充分保障了学校建设和发展的需要，为办学质量提供了坚实的基础。</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度，学校日常教学经费投入比例占总支出</w:t>
      </w:r>
      <w:r>
        <w:rPr>
          <w:rFonts w:hint="eastAsia" w:ascii="宋体" w:eastAsia="宋体"/>
          <w:color w:val="000000" w:themeColor="text1"/>
          <w:position w:val="0"/>
          <w:sz w:val="28"/>
          <w:szCs w:val="28"/>
          <w:shd w:val="clear" w:color="000000" w:fill="FFFFFF"/>
          <w:lang w:val="en-US" w:eastAsia="zh-CN"/>
        </w:rPr>
        <w:t>49</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3</w:t>
      </w:r>
      <w:r>
        <w:rPr>
          <w:rFonts w:hint="default" w:ascii="宋体" w:hAnsi="Times New Roman" w:eastAsia="Times New Roman"/>
          <w:color w:val="000000" w:themeColor="text1"/>
          <w:position w:val="0"/>
          <w:sz w:val="28"/>
          <w:szCs w:val="28"/>
          <w:shd w:val="clear" w:color="000000" w:fill="FFFFFF"/>
        </w:rPr>
        <w:t>%。其中日教学改革经费</w:t>
      </w:r>
      <w:r>
        <w:rPr>
          <w:rFonts w:hint="eastAsia" w:ascii="宋体" w:eastAsia="宋体"/>
          <w:color w:val="000000" w:themeColor="text1"/>
          <w:position w:val="0"/>
          <w:sz w:val="28"/>
          <w:szCs w:val="28"/>
          <w:shd w:val="clear" w:color="000000" w:fill="FFFFFF"/>
          <w:lang w:val="en-US" w:eastAsia="zh-CN"/>
        </w:rPr>
        <w:t>31</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2</w:t>
      </w:r>
      <w:r>
        <w:rPr>
          <w:rFonts w:hint="default" w:ascii="宋体" w:hAnsi="Times New Roman" w:eastAsia="Times New Roman"/>
          <w:color w:val="000000" w:themeColor="text1"/>
          <w:position w:val="0"/>
          <w:sz w:val="28"/>
          <w:szCs w:val="28"/>
          <w:shd w:val="clear" w:color="000000" w:fill="FFFFFF"/>
        </w:rPr>
        <w:t>万元，教科研究费</w:t>
      </w:r>
      <w:r>
        <w:rPr>
          <w:rFonts w:hint="eastAsia" w:ascii="宋体" w:eastAsia="宋体"/>
          <w:color w:val="000000" w:themeColor="text1"/>
          <w:position w:val="0"/>
          <w:sz w:val="28"/>
          <w:szCs w:val="28"/>
          <w:shd w:val="clear" w:color="000000" w:fill="FFFFFF"/>
          <w:lang w:val="en-US" w:eastAsia="zh-CN"/>
        </w:rPr>
        <w:t>14</w:t>
      </w:r>
      <w:r>
        <w:rPr>
          <w:rFonts w:hint="default" w:ascii="宋体" w:hAnsi="Times New Roman" w:eastAsia="Times New Roman"/>
          <w:color w:val="000000" w:themeColor="text1"/>
          <w:position w:val="0"/>
          <w:sz w:val="28"/>
          <w:szCs w:val="28"/>
          <w:shd w:val="clear" w:color="000000" w:fill="FFFFFF"/>
        </w:rPr>
        <w:t>.</w:t>
      </w:r>
      <w:r>
        <w:rPr>
          <w:rFonts w:hint="eastAsia" w:ascii="宋体" w:eastAsia="宋体"/>
          <w:color w:val="000000" w:themeColor="text1"/>
          <w:position w:val="0"/>
          <w:sz w:val="28"/>
          <w:szCs w:val="28"/>
          <w:shd w:val="clear" w:color="000000" w:fill="FFFFFF"/>
          <w:lang w:val="en-US" w:eastAsia="zh-CN"/>
        </w:rPr>
        <w:t>8</w:t>
      </w:r>
      <w:r>
        <w:rPr>
          <w:rFonts w:hint="default" w:ascii="宋体" w:hAnsi="Times New Roman" w:eastAsia="Times New Roman"/>
          <w:color w:val="000000" w:themeColor="text1"/>
          <w:position w:val="0"/>
          <w:sz w:val="28"/>
          <w:szCs w:val="28"/>
          <w:shd w:val="clear" w:color="000000" w:fill="FFFFFF"/>
        </w:rPr>
        <w:t>万元万元。</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6.2政策措施</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学校高度重视职业教育的发展，遵循职业教育规律，充分尊重中等职业技术学校办学自主权，切实开展中等职业学校专业设置优化调整调研，大力推动校外公共实训基地建设，为学校发展提供有力保障条件。</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color w:val="000000" w:themeColor="text1"/>
          <w:position w:val="0"/>
          <w:sz w:val="28"/>
          <w:szCs w:val="28"/>
          <w:shd w:val="clear" w:color="000000" w:fill="FFFFFF"/>
          <w:lang w:eastAsia="zh-CN"/>
        </w:rPr>
        <w:t>2021年</w:t>
      </w:r>
      <w:r>
        <w:rPr>
          <w:rFonts w:hint="default" w:ascii="宋体" w:hAnsi="Times New Roman" w:eastAsia="Times New Roman"/>
          <w:color w:val="000000" w:themeColor="text1"/>
          <w:position w:val="0"/>
          <w:sz w:val="28"/>
          <w:szCs w:val="28"/>
          <w:shd w:val="clear" w:color="000000" w:fill="FFFFFF"/>
        </w:rPr>
        <w:t>，学校积极落实教师招聘，按照学校内部需要要求，通过公开招聘</w:t>
      </w:r>
      <w:r>
        <w:rPr>
          <w:rFonts w:hint="eastAsia" w:ascii="宋体" w:eastAsia="宋体"/>
          <w:color w:val="000000" w:themeColor="text1"/>
          <w:position w:val="0"/>
          <w:sz w:val="28"/>
          <w:szCs w:val="28"/>
          <w:shd w:val="clear" w:color="000000" w:fill="FFFFFF"/>
          <w:lang w:val="en-US" w:eastAsia="zh-CN"/>
        </w:rPr>
        <w:t>18</w:t>
      </w:r>
      <w:r>
        <w:rPr>
          <w:rFonts w:hint="default" w:ascii="宋体" w:hAnsi="Times New Roman" w:eastAsia="Times New Roman"/>
          <w:color w:val="000000" w:themeColor="text1"/>
          <w:position w:val="0"/>
          <w:sz w:val="28"/>
          <w:szCs w:val="28"/>
          <w:shd w:val="clear" w:color="000000" w:fill="FFFFFF"/>
        </w:rPr>
        <w:t>人，有力地丰富了教师队伍。</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both"/>
        <w:textAlignment w:val="auto"/>
        <w:rPr>
          <w:rFonts w:hint="default" w:ascii="宋体" w:hAnsi="Times New Roman" w:eastAsia="Times New Roman"/>
          <w:color w:val="000000" w:themeColor="text1"/>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default" w:ascii="宋体" w:hAnsi="Times New Roman" w:eastAsia="Times New Roman"/>
          <w:b/>
          <w:color w:val="000000" w:themeColor="text1"/>
          <w:position w:val="0"/>
          <w:sz w:val="28"/>
          <w:szCs w:val="28"/>
          <w:shd w:val="clear" w:color="000000" w:fill="FFFFFF"/>
        </w:rPr>
        <w:t>　7.特色创新</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7.1专业特色鲜明</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7.1.1 创办特色专业</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560"/>
        <w:jc w:val="both"/>
        <w:textAlignment w:val="auto"/>
        <w:rPr>
          <w:rFonts w:hint="default" w:ascii="宋体" w:hAnsi="Times New Roman" w:eastAsia="Times New Roman"/>
          <w:color w:val="000000" w:themeColor="text1"/>
          <w:position w:val="0"/>
          <w:sz w:val="28"/>
          <w:szCs w:val="28"/>
          <w:shd w:val="clear" w:color="000000" w:fill="FFFFFF"/>
        </w:rPr>
      </w:pPr>
      <w:r>
        <w:rPr>
          <w:rFonts w:hint="default" w:ascii="宋体" w:hAnsi="Times New Roman" w:eastAsia="Times New Roman"/>
          <w:color w:val="000000" w:themeColor="text1"/>
          <w:position w:val="0"/>
          <w:sz w:val="28"/>
          <w:szCs w:val="28"/>
          <w:shd w:val="clear" w:color="000000" w:fill="FFFFFF"/>
        </w:rPr>
        <w:t>根据学校办学传统，抓住我省大力发展学前教育时机，围绕成都经济社会发展主战略，重点建设学前教育、航空、高铁、会计、汽修等特色专业，形成了较大的办学规模，具备了突出的专业优势，学前教育专业列为市级重点建设专业。</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0"/>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7.1.2培养模式创新</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0"/>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我校各特色专业均有培养方案。培养方案能够紧扣改革创新人才培养模式，在校企合作、工学结合等方面有创新、有特色。任务驱动、项目导向等理实一体化教学模式在教学过程中得到充分运用；教学过程实践性、开放性和职业性强，60%课程在教学过程中运用现代化教学手段；教学环境有机融合学校文化与企业文化、通过实景和虚拟等多种手段充分体现企业真实情境，有效营造生产环境。骨干专业引进能工巧匠来校执教，因地制宜推行现代教育教学模式，教产合一。</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0"/>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7.2育人特色鲜明</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0"/>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7.2.1德育教育</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3"/>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学校德育工作整体规划明确，学校、部门、班级三级德育教育层次完整，责任明确，形了党、政、工、团、职能部门齐抓共管的德育网络，建有完整的德育工作体系，各项工作制度健全，德育教育工作管道畅通，形成良好校风，效果好。德育工作方案设计完整，活动丰富，措施得当，重视对学生的心理健康教育，设立心理健康工作机构。校风、学风、校纪好，学生模范遵守社会公德，积极参加社会公益活动，好人好事和先进</w:t>
      </w:r>
      <w:bookmarkStart w:id="0" w:name="baidusnap2"/>
      <w:bookmarkEnd w:id="0"/>
      <w:r>
        <w:rPr>
          <w:rFonts w:hint="default" w:ascii="宋体" w:hAnsi="宋体" w:eastAsia="宋体"/>
          <w:color w:val="000000" w:themeColor="text1"/>
          <w:position w:val="0"/>
          <w:sz w:val="28"/>
          <w:szCs w:val="28"/>
          <w:shd w:val="clear" w:color="000000" w:fill="FFFFFF"/>
        </w:rPr>
        <w:t>事迹层出不穷。按照《教育部关于中等职业学校德育课设置与教学安排的意见》开设德育课，充分运用现代化教学手段，教学方法先进。不断改进德育课教学方法，将道德教育渗透到教学、实习和社会服务各个环节，教学效果好。</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0"/>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7.2.2校园文化</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3"/>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校园文化建设规划及实施: 本着“提升品位、营造氛围、促进成长”的目标，结合本校特点和办学历史，加强校园文化建设，制定校园文化建设规划和实施方案，建成了独具魅力的校园文化。一是营造优雅的书香氛围。学校充分挖掘校园内外的各种教育资源，在墙面上、展板上、教室里处处写着校训校歌、发展理念、励志名言、优秀习作等，时时激励着每一位师生，丰富了校园文化，营造出良好的育人氛围。二是营造优美的校园环境。实施校园规划、美化工程，做好绿化和园林建设工作，校园内鲜花不断、美如花园，为给师生营造了舒适的工作、学习环境。三是通过标语、宣传栏大力宣传职业教育办学理念，营造浓厚的职教氛围。四是大力开展艺术、体育活动，每年举办校园文化艺术活动节、田径运动会、春季篮球赛和各种技能竞赛活动，丰富了师生文体生活，发展了学生艺体特长。</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3"/>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学校以对广大师生员工的生命财产安全高度负责的态度，牢固树立“安全第一，责任重于泰山”的理念，强化学校安全管</w:t>
      </w:r>
      <w:bookmarkStart w:id="1" w:name="_GoBack"/>
      <w:bookmarkEnd w:id="1"/>
      <w:r>
        <w:rPr>
          <w:rFonts w:hint="default" w:ascii="宋体" w:hAnsi="宋体" w:eastAsia="宋体"/>
          <w:color w:val="000000" w:themeColor="text1"/>
          <w:position w:val="0"/>
          <w:sz w:val="28"/>
          <w:szCs w:val="28"/>
          <w:shd w:val="clear" w:color="000000" w:fill="FFFFFF"/>
        </w:rPr>
        <w:t>理，积极建设“平安、文明、和谐”的校园环境，着力抓好“平安校园”创建工作。形成了校长负总责、教职工全员参与、教育教学活动全过程和学校全方位监控的管理格局；建立健全各项安全管理制度、责任追究制度和事故预警方案；定期开展法制、安全、卫生教育，校园主路及各主要建筑设立安全警示标语（标牌），每学期举办2次安全演练活动，每周开展安全巡查活动；配备校园监控系统和防火设施。学校近3年无重大财产及人身安全事故，学生违法犯罪率为零。</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0"/>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7.2.3管理育人</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3"/>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我校的办学理念较为先进，追求创新型发展，力求跟上新形势下的教育前进脚步，有民主的治校方略，特色管理风格鲜明，成效显著。切实落实校长负责制，并充分发动广大教职工积极参与民主管理，成效显著。由于办学特色鲜明、成绩突出，我校在全省职教界知名度高、认可度高，发挥了很好的示范作用。</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643"/>
        <w:jc w:val="left"/>
        <w:textAlignment w:val="auto"/>
        <w:rPr>
          <w:rFonts w:hint="default"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 xml:space="preserve">学校各项管理目标明确，内设机构健全，各职能部门能够很好地履行自己的职责，学校各项规章制度完善，学校的教学工作，资产管理工作，学生管理，治安管理等工作靠制度进行管理，运行合理，每年度都要进行一次严格的年度考核。 </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2"/>
        <w:jc w:val="left"/>
        <w:textAlignment w:val="auto"/>
        <w:rPr>
          <w:rFonts w:hint="default" w:ascii="宋体" w:hAnsi="宋体" w:eastAsia="宋体"/>
          <w:b/>
          <w:color w:val="000000" w:themeColor="text1"/>
          <w:position w:val="0"/>
          <w:sz w:val="28"/>
          <w:szCs w:val="28"/>
          <w:shd w:val="clear" w:color="000000" w:fill="FFFFFF"/>
        </w:rPr>
      </w:pPr>
      <w:r>
        <w:rPr>
          <w:rFonts w:hint="default" w:ascii="宋体" w:hAnsi="宋体" w:eastAsia="宋体"/>
          <w:b/>
          <w:color w:val="000000" w:themeColor="text1"/>
          <w:position w:val="0"/>
          <w:sz w:val="28"/>
          <w:szCs w:val="28"/>
          <w:shd w:val="clear" w:color="000000" w:fill="FFFFFF"/>
        </w:rPr>
        <w:t>8、主要问题和改进措施</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left="559" w:leftChars="266" w:right="0" w:firstLine="182" w:firstLineChars="65"/>
        <w:jc w:val="left"/>
        <w:textAlignment w:val="auto"/>
        <w:rPr>
          <w:rFonts w:hint="eastAsia" w:ascii="宋体" w:hAnsi="宋体" w:eastAsia="宋体"/>
          <w:color w:val="000000" w:themeColor="text1"/>
          <w:position w:val="0"/>
          <w:sz w:val="28"/>
          <w:szCs w:val="28"/>
          <w:shd w:val="clear" w:color="000000" w:fill="FFFFFF"/>
        </w:rPr>
      </w:pPr>
      <w:r>
        <w:rPr>
          <w:rFonts w:hint="default" w:ascii="宋体" w:hAnsi="宋体" w:eastAsia="宋体"/>
          <w:color w:val="000000" w:themeColor="text1"/>
          <w:position w:val="0"/>
          <w:sz w:val="28"/>
          <w:szCs w:val="28"/>
          <w:shd w:val="clear" w:color="000000" w:fill="FFFFFF"/>
        </w:rPr>
        <w:t>8.1主要问题</w:t>
      </w:r>
      <w:r>
        <w:rPr>
          <w:rFonts w:hint="eastAsia" w:ascii="宋体" w:hAnsi="宋体" w:eastAsia="宋体"/>
          <w:color w:val="000000" w:themeColor="text1"/>
          <w:position w:val="0"/>
          <w:sz w:val="28"/>
          <w:szCs w:val="28"/>
          <w:shd w:val="clear" w:color="000000" w:fill="FFFFFF"/>
        </w:rPr>
        <w:t>主要表现为：</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0" w:firstLineChars="200"/>
        <w:jc w:val="left"/>
        <w:textAlignment w:val="auto"/>
        <w:rPr>
          <w:rFonts w:hint="default" w:ascii="宋体" w:hAnsi="宋体" w:eastAsia="宋体"/>
          <w:color w:val="000000" w:themeColor="text1"/>
          <w:position w:val="0"/>
          <w:sz w:val="28"/>
          <w:szCs w:val="28"/>
          <w:shd w:val="clear" w:color="000000" w:fill="FFFFFF"/>
          <w:lang w:val="en-US" w:eastAsia="zh-CN"/>
        </w:rPr>
      </w:pPr>
      <w:r>
        <w:rPr>
          <w:rFonts w:hint="eastAsia" w:ascii="宋体" w:hAnsi="宋体" w:eastAsia="宋体"/>
          <w:color w:val="000000" w:themeColor="text1"/>
          <w:position w:val="0"/>
          <w:sz w:val="28"/>
          <w:szCs w:val="28"/>
          <w:shd w:val="clear" w:color="000000" w:fill="FFFFFF"/>
        </w:rPr>
        <w:t>一是</w:t>
      </w:r>
      <w:r>
        <w:rPr>
          <w:rFonts w:hint="eastAsia" w:ascii="宋体" w:hAnsi="宋体"/>
          <w:color w:val="000000" w:themeColor="text1"/>
          <w:position w:val="0"/>
          <w:sz w:val="28"/>
          <w:szCs w:val="28"/>
          <w:shd w:val="clear" w:color="000000" w:fill="FFFFFF"/>
          <w:lang w:val="en-US" w:eastAsia="zh-CN"/>
        </w:rPr>
        <w:t>学校校舍建设较久，加之建设之初缺乏科学的设计，一些条件亟需改进，这需要大量的办学经费。</w:t>
      </w:r>
    </w:p>
    <w:p>
      <w:pPr>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0" w:after="0" w:line="360" w:lineRule="auto"/>
        <w:ind w:right="0" w:firstLine="560" w:firstLineChars="200"/>
        <w:jc w:val="left"/>
        <w:textAlignment w:val="auto"/>
        <w:rPr>
          <w:rFonts w:hint="default" w:ascii="宋体" w:hAnsi="宋体" w:eastAsia="宋体"/>
          <w:color w:val="000000" w:themeColor="text1"/>
          <w:position w:val="0"/>
          <w:sz w:val="28"/>
          <w:szCs w:val="28"/>
          <w:shd w:val="clear" w:color="000000" w:fill="FFFFFF"/>
        </w:rPr>
      </w:pPr>
      <w:r>
        <w:rPr>
          <w:rFonts w:hint="eastAsia" w:ascii="宋体" w:hAnsi="宋体"/>
          <w:color w:val="000000" w:themeColor="text1"/>
          <w:position w:val="0"/>
          <w:sz w:val="28"/>
          <w:szCs w:val="28"/>
          <w:shd w:val="clear" w:color="000000" w:fill="FFFFFF"/>
          <w:lang w:eastAsia="zh-CN"/>
        </w:rPr>
        <w:t>二是</w:t>
      </w:r>
      <w:r>
        <w:rPr>
          <w:rFonts w:hint="eastAsia" w:ascii="宋体" w:hAnsi="宋体"/>
          <w:color w:val="000000" w:themeColor="text1"/>
          <w:position w:val="0"/>
          <w:sz w:val="28"/>
          <w:szCs w:val="28"/>
          <w:shd w:val="clear" w:color="000000" w:fill="FFFFFF"/>
          <w:lang w:val="en-US" w:eastAsia="zh-CN"/>
        </w:rPr>
        <w:t>学校</w:t>
      </w:r>
      <w:r>
        <w:rPr>
          <w:rFonts w:hint="eastAsia" w:ascii="宋体" w:hAnsi="宋体" w:eastAsia="宋体"/>
          <w:color w:val="000000" w:themeColor="text1"/>
          <w:position w:val="0"/>
          <w:sz w:val="28"/>
          <w:szCs w:val="28"/>
          <w:shd w:val="clear" w:color="000000" w:fill="FFFFFF"/>
        </w:rPr>
        <w:t>教师的职业教育理念还没有真正确立，运用职业教育理念推进改革创新的自觉性需要进一步提高</w:t>
      </w:r>
      <w:r>
        <w:rPr>
          <w:rFonts w:hint="eastAsia" w:ascii="宋体" w:hAnsi="宋体"/>
          <w:color w:val="000000" w:themeColor="text1"/>
          <w:position w:val="0"/>
          <w:sz w:val="28"/>
          <w:szCs w:val="28"/>
          <w:shd w:val="clear" w:color="000000" w:fill="FFFFFF"/>
          <w:lang w:eastAsia="zh-CN"/>
        </w:rPr>
        <w:t>。</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default" w:ascii="宋体" w:hAnsi="宋体" w:eastAsia="宋体"/>
          <w:color w:val="000000" w:themeColor="text1"/>
          <w:position w:val="0"/>
          <w:sz w:val="28"/>
          <w:szCs w:val="28"/>
          <w:shd w:val="clear" w:color="000000" w:fill="FFFFFF"/>
        </w:rPr>
        <w:t>8.</w:t>
      </w:r>
      <w:r>
        <w:rPr>
          <w:rFonts w:hint="eastAsia" w:ascii="宋体" w:hAnsi="宋体"/>
          <w:color w:val="000000" w:themeColor="text1"/>
          <w:position w:val="0"/>
          <w:sz w:val="28"/>
          <w:szCs w:val="28"/>
          <w:shd w:val="clear" w:color="000000" w:fill="FFFFFF"/>
          <w:lang w:val="en-US" w:eastAsia="zh-CN"/>
        </w:rPr>
        <w:t>2</w:t>
      </w:r>
      <w:r>
        <w:rPr>
          <w:rFonts w:hint="eastAsia" w:ascii="宋体" w:hAnsi="宋体" w:eastAsia="宋体"/>
          <w:color w:val="000000" w:themeColor="text1"/>
          <w:position w:val="0"/>
          <w:sz w:val="28"/>
          <w:szCs w:val="28"/>
          <w:shd w:val="clear" w:color="000000" w:fill="FFFFFF"/>
        </w:rPr>
        <w:t>.改进措施如下：</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eastAsia" w:ascii="宋体" w:hAnsi="宋体" w:eastAsia="宋体"/>
          <w:color w:val="000000" w:themeColor="text1"/>
          <w:position w:val="0"/>
          <w:sz w:val="28"/>
          <w:szCs w:val="28"/>
          <w:shd w:val="clear" w:color="000000" w:fill="FFFFFF"/>
        </w:rPr>
        <w:t>一要抓住“十</w:t>
      </w:r>
      <w:r>
        <w:rPr>
          <w:rFonts w:hint="eastAsia" w:ascii="宋体" w:hAnsi="宋体"/>
          <w:color w:val="000000" w:themeColor="text1"/>
          <w:position w:val="0"/>
          <w:sz w:val="28"/>
          <w:szCs w:val="28"/>
          <w:shd w:val="clear" w:color="000000" w:fill="FFFFFF"/>
          <w:lang w:val="en-US" w:eastAsia="zh-CN"/>
        </w:rPr>
        <w:t>四</w:t>
      </w:r>
      <w:r>
        <w:rPr>
          <w:rFonts w:hint="eastAsia" w:ascii="宋体" w:hAnsi="宋体" w:eastAsia="宋体"/>
          <w:color w:val="000000" w:themeColor="text1"/>
          <w:position w:val="0"/>
          <w:sz w:val="28"/>
          <w:szCs w:val="28"/>
          <w:shd w:val="clear" w:color="000000" w:fill="FFFFFF"/>
        </w:rPr>
        <w:t>五”新的发展机遇期，遵照国家和省有关文件的指示精神，进一步增强办学综合实力和管理水平，全面提升人才培养质量和社会服务能力，大力推进学校创新发展、优质发展；</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eastAsia" w:ascii="宋体" w:hAnsi="宋体" w:eastAsia="宋体"/>
          <w:color w:val="000000" w:themeColor="text1"/>
          <w:position w:val="0"/>
          <w:sz w:val="28"/>
          <w:szCs w:val="28"/>
          <w:shd w:val="clear" w:color="000000" w:fill="FFFFFF"/>
        </w:rPr>
        <w:t>二要把我校打造成为既有</w:t>
      </w:r>
      <w:r>
        <w:rPr>
          <w:rFonts w:hint="eastAsia" w:ascii="宋体" w:hAnsi="宋体"/>
          <w:color w:val="000000" w:themeColor="text1"/>
          <w:position w:val="0"/>
          <w:sz w:val="28"/>
          <w:szCs w:val="28"/>
          <w:shd w:val="clear" w:color="000000" w:fill="FFFFFF"/>
          <w:lang w:eastAsia="zh-CN"/>
        </w:rPr>
        <w:t>幼教</w:t>
      </w:r>
      <w:r>
        <w:rPr>
          <w:rFonts w:hint="eastAsia" w:ascii="宋体" w:hAnsi="宋体" w:eastAsia="宋体"/>
          <w:color w:val="000000" w:themeColor="text1"/>
          <w:position w:val="0"/>
          <w:sz w:val="28"/>
          <w:szCs w:val="28"/>
          <w:shd w:val="clear" w:color="000000" w:fill="FFFFFF"/>
        </w:rPr>
        <w:t>特色又有</w:t>
      </w:r>
      <w:r>
        <w:rPr>
          <w:rFonts w:hint="eastAsia" w:ascii="宋体" w:hAnsi="宋体"/>
          <w:color w:val="000000" w:themeColor="text1"/>
          <w:position w:val="0"/>
          <w:sz w:val="28"/>
          <w:szCs w:val="28"/>
          <w:shd w:val="clear" w:color="000000" w:fill="FFFFFF"/>
          <w:lang w:eastAsia="zh-CN"/>
        </w:rPr>
        <w:t>航空服务</w:t>
      </w:r>
      <w:r>
        <w:rPr>
          <w:rFonts w:hint="eastAsia" w:ascii="宋体" w:hAnsi="宋体" w:eastAsia="宋体"/>
          <w:color w:val="000000" w:themeColor="text1"/>
          <w:position w:val="0"/>
          <w:sz w:val="28"/>
          <w:szCs w:val="28"/>
          <w:shd w:val="clear" w:color="000000" w:fill="FFFFFF"/>
        </w:rPr>
        <w:t>的</w:t>
      </w:r>
      <w:r>
        <w:rPr>
          <w:rFonts w:hint="eastAsia" w:ascii="宋体" w:hAnsi="宋体"/>
          <w:color w:val="000000" w:themeColor="text1"/>
          <w:position w:val="0"/>
          <w:sz w:val="28"/>
          <w:szCs w:val="28"/>
          <w:shd w:val="clear" w:color="000000" w:fill="FFFFFF"/>
          <w:lang w:eastAsia="zh-CN"/>
        </w:rPr>
        <w:t>综合</w:t>
      </w:r>
      <w:r>
        <w:rPr>
          <w:rFonts w:hint="eastAsia" w:ascii="宋体" w:hAnsi="宋体" w:eastAsia="宋体"/>
          <w:color w:val="000000" w:themeColor="text1"/>
          <w:position w:val="0"/>
          <w:sz w:val="28"/>
          <w:szCs w:val="28"/>
          <w:shd w:val="clear" w:color="000000" w:fill="FFFFFF"/>
        </w:rPr>
        <w:t>性职业学校；</w:t>
      </w:r>
      <w:r>
        <w:rPr>
          <w:rFonts w:hint="eastAsia" w:ascii="宋体" w:hAnsi="宋体" w:eastAsia="宋体"/>
          <w:color w:val="000000" w:themeColor="text1"/>
          <w:position w:val="0"/>
          <w:sz w:val="28"/>
          <w:szCs w:val="28"/>
          <w:shd w:val="clear" w:color="000000" w:fill="FFFFFF"/>
        </w:rPr>
        <w:br w:type="textWrapping"/>
      </w:r>
      <w:r>
        <w:rPr>
          <w:rFonts w:hint="eastAsia" w:ascii="宋体" w:hAnsi="宋体"/>
          <w:color w:val="000000" w:themeColor="text1"/>
          <w:position w:val="0"/>
          <w:sz w:val="28"/>
          <w:szCs w:val="28"/>
          <w:shd w:val="clear" w:color="000000" w:fill="FFFFFF"/>
          <w:lang w:val="en-US" w:eastAsia="zh-CN"/>
        </w:rPr>
        <w:t xml:space="preserve">   </w:t>
      </w:r>
      <w:r>
        <w:rPr>
          <w:rFonts w:hint="eastAsia" w:ascii="宋体" w:hAnsi="宋体" w:eastAsia="宋体"/>
          <w:color w:val="000000" w:themeColor="text1"/>
          <w:position w:val="0"/>
          <w:sz w:val="28"/>
          <w:szCs w:val="28"/>
          <w:shd w:val="clear" w:color="000000" w:fill="FFFFFF"/>
        </w:rPr>
        <w:t>三要以学校发展为核心利益，以“校企合作”和“校校合作”为双翼，不断地提高推进科学发展、破解突出问题的能力和水平，不断巩固和扩大学校发展所取得的成果</w:t>
      </w:r>
      <w:r>
        <w:rPr>
          <w:rFonts w:hint="eastAsia" w:ascii="宋体" w:hAnsi="宋体" w:eastAsia="宋体"/>
          <w:color w:val="000000" w:themeColor="text1"/>
          <w:position w:val="0"/>
          <w:sz w:val="28"/>
          <w:szCs w:val="28"/>
          <w:shd w:val="clear" w:color="000000" w:fill="FFFFFF"/>
          <w:lang w:eastAsia="zh-CN"/>
        </w:rPr>
        <w:t>，努力提高社会经济效益</w:t>
      </w:r>
      <w:r>
        <w:rPr>
          <w:rFonts w:hint="default" w:ascii="宋体" w:hAnsi="宋体" w:eastAsia="宋体"/>
          <w:color w:val="000000" w:themeColor="text1"/>
          <w:position w:val="0"/>
          <w:sz w:val="28"/>
          <w:szCs w:val="28"/>
          <w:shd w:val="clear" w:color="000000" w:fill="FFFFFF"/>
        </w:rPr>
        <w:t>。</w:t>
      </w:r>
    </w:p>
    <w:p>
      <w:pPr>
        <w:pStyle w:val="22"/>
        <w:keepNext w:val="0"/>
        <w:keepLines w:val="0"/>
        <w:pageBreakBefore w:val="0"/>
        <w:widowControl/>
        <w:numPr>
          <w:ilvl w:val="0"/>
          <w:numId w:val="0"/>
        </w:numPr>
        <w:shd w:val="clear" w:color="000000" w:fill="FFFFFF"/>
        <w:kinsoku/>
        <w:wordWrap/>
        <w:overflowPunct/>
        <w:topLinePunct w:val="0"/>
        <w:autoSpaceDE/>
        <w:autoSpaceDN/>
        <w:bidi w:val="0"/>
        <w:adjustRightInd/>
        <w:snapToGrid/>
        <w:spacing w:before="280" w:beforeAutospacing="1" w:after="280" w:afterAutospacing="1" w:line="360" w:lineRule="auto"/>
        <w:ind w:right="0" w:firstLine="0"/>
        <w:jc w:val="right"/>
        <w:textAlignment w:val="auto"/>
        <w:rPr>
          <w:rFonts w:hint="default" w:ascii="宋体" w:hAnsi="Times New Roman" w:eastAsia="Times New Roman"/>
          <w:color w:val="auto"/>
          <w:position w:val="0"/>
          <w:sz w:val="28"/>
          <w:szCs w:val="28"/>
        </w:rPr>
      </w:pPr>
      <w:r>
        <w:rPr>
          <w:rFonts w:hint="default" w:ascii="宋体" w:hAnsi="Times New Roman" w:eastAsia="Times New Roman"/>
          <w:color w:val="000000" w:themeColor="text1"/>
          <w:position w:val="0"/>
          <w:sz w:val="28"/>
          <w:szCs w:val="28"/>
          <w:shd w:val="clear" w:color="000000" w:fill="FFFFFF"/>
        </w:rPr>
        <w:t>　</w:t>
      </w:r>
      <w:r>
        <w:rPr>
          <w:rFonts w:hint="eastAsia" w:ascii="宋体" w:eastAsia="宋体"/>
          <w:b/>
          <w:color w:val="auto"/>
          <w:position w:val="0"/>
          <w:sz w:val="28"/>
          <w:szCs w:val="28"/>
          <w:shd w:val="clear" w:color="000000" w:fill="FFFFFF"/>
          <w:lang w:eastAsia="zh-CN"/>
        </w:rPr>
        <w:t>20</w:t>
      </w:r>
      <w:r>
        <w:rPr>
          <w:rFonts w:hint="eastAsia" w:ascii="宋体" w:eastAsia="宋体"/>
          <w:b/>
          <w:color w:val="auto"/>
          <w:position w:val="0"/>
          <w:sz w:val="28"/>
          <w:szCs w:val="28"/>
          <w:shd w:val="clear" w:color="000000" w:fill="FFFFFF"/>
          <w:lang w:val="en-US" w:eastAsia="zh-CN"/>
        </w:rPr>
        <w:t>21</w:t>
      </w:r>
      <w:r>
        <w:rPr>
          <w:rFonts w:hint="eastAsia" w:ascii="宋体" w:eastAsia="宋体"/>
          <w:b/>
          <w:color w:val="auto"/>
          <w:position w:val="0"/>
          <w:sz w:val="28"/>
          <w:szCs w:val="28"/>
          <w:shd w:val="clear" w:color="000000" w:fill="FFFFFF"/>
          <w:lang w:eastAsia="zh-CN"/>
        </w:rPr>
        <w:t>年</w:t>
      </w:r>
      <w:r>
        <w:rPr>
          <w:rFonts w:hint="eastAsia" w:ascii="宋体" w:eastAsia="宋体"/>
          <w:b/>
          <w:color w:val="auto"/>
          <w:position w:val="0"/>
          <w:sz w:val="28"/>
          <w:szCs w:val="28"/>
          <w:shd w:val="clear" w:color="000000" w:fill="FFFFFF"/>
          <w:lang w:val="en-US" w:eastAsia="zh-CN"/>
        </w:rPr>
        <w:t>11</w:t>
      </w:r>
      <w:r>
        <w:rPr>
          <w:rFonts w:hint="default" w:ascii="宋体" w:hAnsi="Times New Roman" w:eastAsia="Times New Roman"/>
          <w:b/>
          <w:color w:val="auto"/>
          <w:position w:val="0"/>
          <w:sz w:val="28"/>
          <w:szCs w:val="28"/>
          <w:shd w:val="clear" w:color="000000" w:fill="FFFFFF"/>
        </w:rPr>
        <w:t>月</w:t>
      </w:r>
      <w:r>
        <w:rPr>
          <w:rFonts w:hint="eastAsia" w:ascii="宋体" w:eastAsia="宋体"/>
          <w:b/>
          <w:color w:val="auto"/>
          <w:position w:val="0"/>
          <w:sz w:val="28"/>
          <w:szCs w:val="28"/>
          <w:shd w:val="clear" w:color="000000" w:fill="FFFFFF"/>
          <w:lang w:val="en-US" w:eastAsia="zh-CN"/>
        </w:rPr>
        <w:t>29</w:t>
      </w:r>
      <w:r>
        <w:rPr>
          <w:rFonts w:hint="default" w:ascii="宋体" w:hAnsi="Times New Roman" w:eastAsia="Times New Roman"/>
          <w:b/>
          <w:color w:val="auto"/>
          <w:position w:val="0"/>
          <w:sz w:val="28"/>
          <w:szCs w:val="28"/>
          <w:shd w:val="clear" w:color="000000" w:fill="FFFFFF"/>
        </w:rPr>
        <w:t>日</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right="0"/>
        <w:jc w:val="both"/>
        <w:textAlignment w:val="auto"/>
        <w:rPr>
          <w:rFonts w:hint="default" w:ascii="黑体" w:hAnsi="黑体" w:eastAsia="黑体"/>
          <w:color w:val="auto"/>
          <w:position w:val="0"/>
          <w:sz w:val="28"/>
          <w:szCs w:val="28"/>
        </w:rPr>
      </w:pPr>
      <w:r>
        <w:rPr>
          <w:rFonts w:hint="default" w:ascii="黑体" w:hAnsi="黑体" w:eastAsia="黑体"/>
          <w:color w:val="auto"/>
          <w:position w:val="0"/>
          <w:sz w:val="28"/>
          <w:szCs w:val="28"/>
        </w:rPr>
        <w:t>学校网址：</w:t>
      </w:r>
      <w:r>
        <w:rPr>
          <w:rFonts w:hint="default" w:ascii="黑体" w:hAnsi="黑体" w:eastAsia="黑体"/>
          <w:color w:val="auto"/>
          <w:position w:val="0"/>
          <w:sz w:val="28"/>
          <w:szCs w:val="28"/>
          <w:shd w:val="clear" w:color="000000" w:fill="FFFFFF"/>
        </w:rPr>
        <w:t>www.hxlysx.com</w:t>
      </w:r>
    </w:p>
    <w:sectPr>
      <w:pgSz w:w="11906" w:h="16838"/>
      <w:pgMar w:top="1587" w:right="1587" w:bottom="1587" w:left="1587" w:header="851" w:footer="992" w:gutter="0"/>
      <w:paperSrc/>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enlo">
    <w:altName w:val="Microsoft YaHei UI Light"/>
    <w:panose1 w:val="020F0502020204030204"/>
    <w:charset w:val="00"/>
    <w:family w:val="auto"/>
    <w:pitch w:val="default"/>
    <w:sig w:usb0="00000000" w:usb1="00000000" w:usb2="00000000" w:usb3="00000000" w:csb0="FFFFFFFF" w:csb1="00000000"/>
  </w:font>
  <w:font w:name="微软雅黑">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6E30AD"/>
    <w:rsid w:val="09791FEB"/>
    <w:rsid w:val="0ABD2239"/>
    <w:rsid w:val="0C656FEA"/>
    <w:rsid w:val="11214C9A"/>
    <w:rsid w:val="11FE3C0A"/>
    <w:rsid w:val="15F95D68"/>
    <w:rsid w:val="1D4E7C78"/>
    <w:rsid w:val="1ED17483"/>
    <w:rsid w:val="1F5C12FF"/>
    <w:rsid w:val="1F7D48CB"/>
    <w:rsid w:val="24431158"/>
    <w:rsid w:val="26B92F1C"/>
    <w:rsid w:val="28244771"/>
    <w:rsid w:val="2D2961DF"/>
    <w:rsid w:val="2EA86035"/>
    <w:rsid w:val="2FEF0310"/>
    <w:rsid w:val="30971081"/>
    <w:rsid w:val="358A1374"/>
    <w:rsid w:val="365338C5"/>
    <w:rsid w:val="36C40C18"/>
    <w:rsid w:val="3B2D3AC5"/>
    <w:rsid w:val="3D29387D"/>
    <w:rsid w:val="40071601"/>
    <w:rsid w:val="42414178"/>
    <w:rsid w:val="43647A1C"/>
    <w:rsid w:val="4469648D"/>
    <w:rsid w:val="45FB6713"/>
    <w:rsid w:val="48020F0B"/>
    <w:rsid w:val="4B01444A"/>
    <w:rsid w:val="516075AC"/>
    <w:rsid w:val="53D57FA0"/>
    <w:rsid w:val="541842DB"/>
    <w:rsid w:val="55724876"/>
    <w:rsid w:val="5CC917D1"/>
    <w:rsid w:val="5F0B627F"/>
    <w:rsid w:val="61A87A74"/>
    <w:rsid w:val="637C746E"/>
    <w:rsid w:val="66810574"/>
    <w:rsid w:val="6DF6206F"/>
    <w:rsid w:val="7101308D"/>
    <w:rsid w:val="742A3038"/>
    <w:rsid w:val="75022EBF"/>
    <w:rsid w:val="75305CEF"/>
    <w:rsid w:val="76FC29CB"/>
    <w:rsid w:val="773558F2"/>
    <w:rsid w:val="78B512B9"/>
    <w:rsid w:val="7A231633"/>
    <w:rsid w:val="7DD91E3D"/>
    <w:rsid w:val="7E345F03"/>
    <w:rsid w:val="7FC96483"/>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4" w:semiHidden="0" w:name="Hyperlink"/>
    <w:lsdException w:qFormat="1" w:unhideWhenUsed="0" w:uiPriority="152"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155" w:semiHidden="0" w:name="HTML Code"/>
    <w:lsdException w:qFormat="1" w:unhideWhenUsed="0" w:uiPriority="153" w:semiHidden="0" w:name="HTML Definition"/>
    <w:lsdException w:qFormat="1" w:unhideWhenUsed="0" w:uiPriority="156" w:semiHidden="0" w:name="HTML Keyboard"/>
    <w:lsdException w:unhideWhenUsed="0" w:uiPriority="0" w:semiHidden="0" w:name="HTML Preformatted"/>
    <w:lsdException w:qFormat="1" w:unhideWhenUsed="0" w:uiPriority="157"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8"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imes New Roman"/>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imes New Roman"/>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imes New Roman"/>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imes New Roman"/>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imes New Roman"/>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imes New Roman"/>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imes New Roman"/>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imes New Roman"/>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imes New Roman"/>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imes New Roman"/>
      <w:w w:val="100"/>
      <w:sz w:val="21"/>
      <w:szCs w:val="21"/>
      <w:shd w:val="clear"/>
    </w:rPr>
  </w:style>
  <w:style w:type="character" w:default="1" w:styleId="25">
    <w:name w:val="Default Paragraph Font"/>
    <w:semiHidden/>
    <w:unhideWhenUsed/>
    <w:qFormat/>
    <w:uiPriority w:val="2"/>
  </w:style>
  <w:style w:type="table" w:default="1" w:styleId="24">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imes New Roman"/>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imes New Roman"/>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imes New Roman"/>
      <w:w w:val="100"/>
      <w:sz w:val="21"/>
      <w:szCs w:val="21"/>
      <w:shd w:val="clear"/>
    </w:rPr>
  </w:style>
  <w:style w:type="paragraph" w:styleId="15">
    <w:name w:val="Balloon Text"/>
    <w:basedOn w:val="1"/>
    <w:link w:val="44"/>
    <w:qFormat/>
    <w:uiPriority w:val="158"/>
    <w:rPr>
      <w:w w:val="100"/>
      <w:sz w:val="18"/>
      <w:szCs w:val="18"/>
      <w:shd w:val="clear"/>
    </w:rPr>
  </w:style>
  <w:style w:type="paragraph" w:styleId="16">
    <w:name w:val="toc 1"/>
    <w:next w:val="1"/>
    <w:unhideWhenUsed/>
    <w:qFormat/>
    <w:uiPriority w:val="28"/>
    <w:pPr>
      <w:widowControl/>
      <w:wordWrap/>
      <w:autoSpaceDE/>
      <w:autoSpaceDN/>
      <w:jc w:val="both"/>
    </w:pPr>
    <w:rPr>
      <w:rFonts w:ascii="Times New Roman" w:hAnsi="Times New Roman" w:eastAsia="Times New Roman" w:cs="Times New Roman"/>
      <w:w w:val="100"/>
      <w:sz w:val="21"/>
      <w:szCs w:val="21"/>
      <w:shd w:val="clear"/>
    </w:rPr>
  </w:style>
  <w:style w:type="paragraph" w:styleId="17">
    <w:name w:val="toc 4"/>
    <w:next w:val="1"/>
    <w:unhideWhenUsed/>
    <w:qFormat/>
    <w:uiPriority w:val="31"/>
    <w:pPr>
      <w:widowControl/>
      <w:wordWrap/>
      <w:autoSpaceDE/>
      <w:autoSpaceDN/>
      <w:ind w:left="1275" w:firstLine="0"/>
      <w:jc w:val="both"/>
    </w:pPr>
    <w:rPr>
      <w:rFonts w:ascii="Times New Roman" w:hAnsi="Times New Roman" w:eastAsia="Times New Roman" w:cs="Times New Roman"/>
      <w:w w:val="100"/>
      <w:sz w:val="21"/>
      <w:szCs w:val="21"/>
      <w:shd w:val="clear"/>
    </w:rPr>
  </w:style>
  <w:style w:type="paragraph" w:styleId="18">
    <w:name w:val="Subtitle"/>
    <w:qFormat/>
    <w:uiPriority w:val="16"/>
    <w:pPr>
      <w:widowControl/>
      <w:wordWrap/>
      <w:autoSpaceDE/>
      <w:autoSpaceDN/>
      <w:jc w:val="center"/>
    </w:pPr>
    <w:rPr>
      <w:rFonts w:ascii="Times New Roman" w:hAnsi="Times New Roman" w:eastAsia="Times New Roman" w:cs="Times New Roman"/>
      <w:w w:val="100"/>
      <w:sz w:val="24"/>
      <w:szCs w:val="24"/>
      <w:shd w:val="clear"/>
    </w:rPr>
  </w:style>
  <w:style w:type="paragraph" w:styleId="19">
    <w:name w:val="toc 6"/>
    <w:next w:val="1"/>
    <w:unhideWhenUsed/>
    <w:qFormat/>
    <w:uiPriority w:val="33"/>
    <w:pPr>
      <w:widowControl/>
      <w:wordWrap/>
      <w:autoSpaceDE/>
      <w:autoSpaceDN/>
      <w:ind w:left="2125" w:firstLine="0"/>
      <w:jc w:val="both"/>
    </w:pPr>
    <w:rPr>
      <w:rFonts w:ascii="Times New Roman" w:hAnsi="Times New Roman" w:eastAsia="Times New Roman" w:cs="Times New Roman"/>
      <w:w w:val="100"/>
      <w:sz w:val="21"/>
      <w:szCs w:val="21"/>
      <w:shd w:val="clear"/>
    </w:rPr>
  </w:style>
  <w:style w:type="paragraph" w:styleId="20">
    <w:name w:val="toc 2"/>
    <w:next w:val="1"/>
    <w:unhideWhenUsed/>
    <w:qFormat/>
    <w:uiPriority w:val="29"/>
    <w:pPr>
      <w:widowControl/>
      <w:wordWrap/>
      <w:autoSpaceDE/>
      <w:autoSpaceDN/>
      <w:ind w:left="425" w:firstLine="0"/>
      <w:jc w:val="both"/>
    </w:pPr>
    <w:rPr>
      <w:rFonts w:ascii="Times New Roman" w:hAnsi="Times New Roman" w:eastAsia="Times New Roman" w:cs="Times New Roman"/>
      <w:w w:val="100"/>
      <w:sz w:val="21"/>
      <w:szCs w:val="21"/>
      <w:shd w:val="clear"/>
    </w:rPr>
  </w:style>
  <w:style w:type="paragraph" w:styleId="21">
    <w:name w:val="toc 9"/>
    <w:next w:val="1"/>
    <w:unhideWhenUsed/>
    <w:qFormat/>
    <w:uiPriority w:val="36"/>
    <w:pPr>
      <w:widowControl/>
      <w:wordWrap/>
      <w:autoSpaceDE/>
      <w:autoSpaceDN/>
      <w:ind w:left="3400" w:firstLine="0"/>
      <w:jc w:val="both"/>
    </w:pPr>
    <w:rPr>
      <w:rFonts w:ascii="Times New Roman" w:hAnsi="Times New Roman" w:eastAsia="Times New Roman" w:cs="Times New Roman"/>
      <w:w w:val="100"/>
      <w:sz w:val="21"/>
      <w:szCs w:val="21"/>
      <w:shd w:val="clear"/>
    </w:rPr>
  </w:style>
  <w:style w:type="paragraph" w:styleId="22">
    <w:name w:val="Normal (Web)"/>
    <w:basedOn w:val="1"/>
    <w:qFormat/>
    <w:uiPriority w:val="151"/>
    <w:pPr>
      <w:widowControl/>
      <w:wordWrap/>
      <w:autoSpaceDE/>
      <w:autoSpaceDN/>
    </w:pPr>
    <w:rPr>
      <w:rFonts w:ascii="Times New Roman" w:hAnsi="Times New Roman" w:eastAsia="Times New Roman"/>
      <w:w w:val="100"/>
      <w:sz w:val="24"/>
      <w:szCs w:val="24"/>
      <w:shd w:val="clear"/>
    </w:rPr>
  </w:style>
  <w:style w:type="paragraph" w:styleId="23">
    <w:name w:val="Title"/>
    <w:qFormat/>
    <w:uiPriority w:val="6"/>
    <w:pPr>
      <w:widowControl/>
      <w:wordWrap/>
      <w:autoSpaceDE/>
      <w:autoSpaceDN/>
      <w:jc w:val="center"/>
    </w:pPr>
    <w:rPr>
      <w:rFonts w:ascii="Times New Roman" w:hAnsi="Times New Roman" w:eastAsia="Times New Roman" w:cs="Times New Roman"/>
      <w:b/>
      <w:w w:val="100"/>
      <w:sz w:val="32"/>
      <w:szCs w:val="32"/>
      <w:shd w:val="clear"/>
    </w:rPr>
  </w:style>
  <w:style w:type="character" w:styleId="26">
    <w:name w:val="Strong"/>
    <w:basedOn w:val="25"/>
    <w:qFormat/>
    <w:uiPriority w:val="20"/>
    <w:rPr>
      <w:b/>
      <w:w w:val="100"/>
      <w:sz w:val="20"/>
      <w:szCs w:val="20"/>
      <w:shd w:val="clear" w:color="000000" w:fill="F0AD4E"/>
    </w:rPr>
  </w:style>
  <w:style w:type="character" w:styleId="27">
    <w:name w:val="FollowedHyperlink"/>
    <w:basedOn w:val="25"/>
    <w:qFormat/>
    <w:uiPriority w:val="152"/>
    <w:rPr>
      <w:color w:val="333333"/>
      <w:w w:val="100"/>
      <w:sz w:val="20"/>
      <w:szCs w:val="20"/>
      <w:u w:val="none"/>
      <w:shd w:val="clear"/>
    </w:rPr>
  </w:style>
  <w:style w:type="character" w:styleId="28">
    <w:name w:val="Emphasis"/>
    <w:qFormat/>
    <w:uiPriority w:val="18"/>
    <w:rPr>
      <w:i/>
      <w:w w:val="100"/>
      <w:sz w:val="21"/>
      <w:szCs w:val="21"/>
      <w:shd w:val="clear"/>
    </w:rPr>
  </w:style>
  <w:style w:type="character" w:styleId="29">
    <w:name w:val="HTML Definition"/>
    <w:basedOn w:val="25"/>
    <w:qFormat/>
    <w:uiPriority w:val="153"/>
    <w:rPr>
      <w:i/>
      <w:w w:val="100"/>
      <w:sz w:val="20"/>
      <w:szCs w:val="20"/>
      <w:shd w:val="clear"/>
    </w:rPr>
  </w:style>
  <w:style w:type="character" w:styleId="30">
    <w:name w:val="Hyperlink"/>
    <w:basedOn w:val="25"/>
    <w:qFormat/>
    <w:uiPriority w:val="154"/>
    <w:rPr>
      <w:color w:val="333333"/>
      <w:w w:val="100"/>
      <w:sz w:val="20"/>
      <w:szCs w:val="20"/>
      <w:u w:val="none"/>
      <w:shd w:val="clear"/>
    </w:rPr>
  </w:style>
  <w:style w:type="character" w:styleId="31">
    <w:name w:val="HTML Code"/>
    <w:basedOn w:val="25"/>
    <w:qFormat/>
    <w:uiPriority w:val="155"/>
    <w:rPr>
      <w:rFonts w:ascii="Menlo" w:hAnsi="Menlo" w:eastAsia="Menlo"/>
      <w:color w:val="C7254E"/>
      <w:w w:val="100"/>
      <w:sz w:val="21"/>
      <w:szCs w:val="21"/>
      <w:shd w:val="clear" w:color="000000" w:fill="F9F2F4"/>
    </w:rPr>
  </w:style>
  <w:style w:type="character" w:styleId="32">
    <w:name w:val="HTML Keyboard"/>
    <w:basedOn w:val="25"/>
    <w:qFormat/>
    <w:uiPriority w:val="156"/>
    <w:rPr>
      <w:rFonts w:ascii="Menlo" w:hAnsi="Menlo" w:eastAsia="Menlo"/>
      <w:color w:val="FFFFFF"/>
      <w:w w:val="100"/>
      <w:sz w:val="21"/>
      <w:szCs w:val="21"/>
      <w:shd w:val="clear" w:color="000000" w:fill="333333"/>
    </w:rPr>
  </w:style>
  <w:style w:type="character" w:styleId="33">
    <w:name w:val="HTML Sample"/>
    <w:basedOn w:val="25"/>
    <w:qFormat/>
    <w:uiPriority w:val="157"/>
    <w:rPr>
      <w:rFonts w:ascii="Menlo" w:hAnsi="Menlo" w:eastAsia="Menlo"/>
      <w:w w:val="100"/>
      <w:sz w:val="21"/>
      <w:szCs w:val="21"/>
      <w:shd w:val="clear"/>
    </w:rPr>
  </w:style>
  <w:style w:type="paragraph" w:styleId="34">
    <w:name w:val="No Spacing"/>
    <w:qFormat/>
    <w:uiPriority w:val="5"/>
    <w:pPr>
      <w:widowControl/>
      <w:wordWrap/>
      <w:autoSpaceDE/>
      <w:autoSpaceDN/>
      <w:jc w:val="both"/>
    </w:pPr>
    <w:rPr>
      <w:rFonts w:ascii="Times New Roman" w:hAnsi="Times New Roman" w:eastAsia="Times New Roman" w:cs="Times New Roman"/>
      <w:w w:val="100"/>
      <w:sz w:val="21"/>
      <w:szCs w:val="21"/>
      <w:shd w:val="clear"/>
    </w:rPr>
  </w:style>
  <w:style w:type="character" w:customStyle="1" w:styleId="35">
    <w:name w:val="Subtle Emphasis"/>
    <w:qFormat/>
    <w:uiPriority w:val="17"/>
    <w:rPr>
      <w:i/>
      <w:color w:val="404040"/>
      <w:w w:val="100"/>
      <w:sz w:val="21"/>
      <w:szCs w:val="21"/>
      <w:shd w:val="clear"/>
    </w:rPr>
  </w:style>
  <w:style w:type="character" w:customStyle="1" w:styleId="36">
    <w:name w:val="Intense Emphasis"/>
    <w:qFormat/>
    <w:uiPriority w:val="19"/>
    <w:rPr>
      <w:i/>
      <w:color w:val="5B9BD5"/>
      <w:w w:val="100"/>
      <w:sz w:val="21"/>
      <w:szCs w:val="21"/>
      <w:shd w:val="clear"/>
    </w:rPr>
  </w:style>
  <w:style w:type="paragraph" w:styleId="37">
    <w:name w:val="Quote"/>
    <w:qFormat/>
    <w:uiPriority w:val="21"/>
    <w:pPr>
      <w:widowControl/>
      <w:wordWrap/>
      <w:autoSpaceDE/>
      <w:autoSpaceDN/>
      <w:ind w:left="864" w:right="864" w:firstLine="0"/>
      <w:jc w:val="center"/>
    </w:pPr>
    <w:rPr>
      <w:rFonts w:ascii="Times New Roman" w:hAnsi="Times New Roman" w:eastAsia="Times New Roman" w:cs="Times New Roman"/>
      <w:i/>
      <w:color w:val="404040"/>
      <w:w w:val="100"/>
      <w:sz w:val="21"/>
      <w:szCs w:val="21"/>
      <w:shd w:val="clear"/>
    </w:rPr>
  </w:style>
  <w:style w:type="paragraph" w:styleId="38">
    <w:name w:val="Intense Quote"/>
    <w:qFormat/>
    <w:uiPriority w:val="22"/>
    <w:pPr>
      <w:widowControl/>
      <w:wordWrap/>
      <w:autoSpaceDE/>
      <w:autoSpaceDN/>
      <w:ind w:left="950" w:right="950" w:firstLine="0"/>
      <w:jc w:val="center"/>
    </w:pPr>
    <w:rPr>
      <w:rFonts w:ascii="Times New Roman" w:hAnsi="Times New Roman" w:eastAsia="Times New Roman" w:cs="Times New Roman"/>
      <w:i/>
      <w:color w:val="5B9BD5"/>
      <w:w w:val="100"/>
      <w:sz w:val="21"/>
      <w:szCs w:val="21"/>
      <w:shd w:val="clear"/>
    </w:rPr>
  </w:style>
  <w:style w:type="character" w:customStyle="1" w:styleId="39">
    <w:name w:val="Subtle Reference"/>
    <w:qFormat/>
    <w:uiPriority w:val="23"/>
    <w:rPr>
      <w:smallCaps/>
      <w:color w:val="5A5A5A"/>
      <w:w w:val="100"/>
      <w:sz w:val="21"/>
      <w:szCs w:val="21"/>
      <w:shd w:val="clear"/>
    </w:rPr>
  </w:style>
  <w:style w:type="character" w:customStyle="1" w:styleId="40">
    <w:name w:val="Intense Reference"/>
    <w:qFormat/>
    <w:uiPriority w:val="24"/>
    <w:rPr>
      <w:b/>
      <w:smallCaps/>
      <w:color w:val="5B9BD5"/>
      <w:w w:val="100"/>
      <w:sz w:val="21"/>
      <w:szCs w:val="21"/>
      <w:shd w:val="clear"/>
    </w:rPr>
  </w:style>
  <w:style w:type="character" w:customStyle="1" w:styleId="41">
    <w:name w:val="Book Title"/>
    <w:qFormat/>
    <w:uiPriority w:val="25"/>
    <w:rPr>
      <w:b/>
      <w:i/>
      <w:w w:val="100"/>
      <w:sz w:val="21"/>
      <w:szCs w:val="21"/>
      <w:shd w:val="clear"/>
    </w:rPr>
  </w:style>
  <w:style w:type="paragraph" w:styleId="42">
    <w:name w:val="List Paragraph"/>
    <w:qFormat/>
    <w:uiPriority w:val="26"/>
    <w:pPr>
      <w:widowControl/>
      <w:wordWrap/>
      <w:autoSpaceDE/>
      <w:autoSpaceDN/>
      <w:ind w:left="850" w:firstLine="0"/>
      <w:jc w:val="both"/>
    </w:pPr>
    <w:rPr>
      <w:rFonts w:ascii="Times New Roman" w:hAnsi="Times New Roman" w:eastAsia="Times New Roman" w:cs="Times New Roman"/>
      <w:w w:val="100"/>
      <w:sz w:val="21"/>
      <w:szCs w:val="21"/>
      <w:shd w:val="clear"/>
    </w:rPr>
  </w:style>
  <w:style w:type="paragraph" w:customStyle="1" w:styleId="43">
    <w:name w:val="TOC Heading"/>
    <w:unhideWhenUsed/>
    <w:qFormat/>
    <w:uiPriority w:val="27"/>
    <w:pPr>
      <w:widowControl/>
      <w:wordWrap/>
      <w:autoSpaceDE/>
      <w:autoSpaceDN/>
    </w:pPr>
    <w:rPr>
      <w:rFonts w:ascii="Times New Roman" w:hAnsi="Times New Roman" w:eastAsia="Times New Roman" w:cs="Times New Roman"/>
      <w:color w:val="2E74B5"/>
      <w:w w:val="100"/>
      <w:sz w:val="32"/>
      <w:szCs w:val="32"/>
      <w:shd w:val="clear"/>
    </w:rPr>
  </w:style>
  <w:style w:type="character" w:customStyle="1" w:styleId="44">
    <w:name w:val="批注框文本 Char"/>
    <w:basedOn w:val="25"/>
    <w:link w:val="15"/>
    <w:qFormat/>
    <w:uiPriority w:val="159"/>
    <w:rPr>
      <w:rFonts w:ascii="Calibri" w:hAnsi="Calibri" w:eastAsia="宋体"/>
      <w:w w:val="100"/>
      <w:sz w:val="18"/>
      <w:szCs w:val="18"/>
      <w:shd w:val="clear"/>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image" Target="media/image2.png"/><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elete val="1"/>
          </c:dLbls>
          <c:trendline>
            <c:spPr>
              <a:ln w="19050" cap="rnd">
                <a:solidFill>
                  <a:schemeClr val="accent1"/>
                </a:solidFill>
                <a:prstDash val="sysDot"/>
              </a:ln>
              <a:effectLst/>
            </c:spPr>
            <c:trendlineType val="linear"/>
            <c:dispRSqr val="0"/>
            <c:dispEq val="0"/>
          </c:trendline>
          <c:cat>
            <c:strRef>
              <c:f>Sheet1!$A$3:$A$5</c:f>
              <c:strCache>
                <c:ptCount val="3"/>
                <c:pt idx="0">
                  <c:v>2019级</c:v>
                </c:pt>
                <c:pt idx="1">
                  <c:v>2020级</c:v>
                </c:pt>
                <c:pt idx="2">
                  <c:v>2021级</c:v>
                </c:pt>
              </c:strCache>
            </c:strRef>
          </c:cat>
          <c:val>
            <c:numRef>
              <c:f>Sheet1!$B$3:$B$5</c:f>
              <c:numCache>
                <c:formatCode>General</c:formatCode>
                <c:ptCount val="3"/>
                <c:pt idx="0">
                  <c:v>803</c:v>
                </c:pt>
                <c:pt idx="1">
                  <c:v>447</c:v>
                </c:pt>
                <c:pt idx="2">
                  <c:v>443</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Sheet1!$A$3:$A$5</c:f>
              <c:strCache>
                <c:ptCount val="3"/>
                <c:pt idx="0">
                  <c:v>2019级</c:v>
                </c:pt>
                <c:pt idx="1">
                  <c:v>2020级</c:v>
                </c:pt>
                <c:pt idx="2">
                  <c:v>2021级</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Sheet1!$A$3:$A$5</c:f>
              <c:strCache>
                <c:ptCount val="3"/>
                <c:pt idx="0">
                  <c:v>2019级</c:v>
                </c:pt>
                <c:pt idx="1">
                  <c:v>2020级</c:v>
                </c:pt>
                <c:pt idx="2">
                  <c:v>2021级</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90675564"/>
        <c:axId val="370861977"/>
      </c:barChart>
      <c:catAx>
        <c:axId val="1906755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0861977"/>
        <c:crosses val="autoZero"/>
        <c:auto val="1"/>
        <c:lblAlgn val="ctr"/>
        <c:lblOffset val="100"/>
        <c:noMultiLvlLbl val="0"/>
      </c:catAx>
      <c:valAx>
        <c:axId val="3708619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6755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dk1">
                    <a:lumMod val="75000"/>
                    <a:lumOff val="25000"/>
                  </a:schemeClr>
                </a:solidFill>
                <a:latin typeface="+mn-lt"/>
                <a:ea typeface="+mn-ea"/>
                <a:cs typeface="+mn-cs"/>
              </a:defRPr>
            </a:pPr>
            <a:r>
              <a:t>职称比例</a:t>
            </a:r>
          </a:p>
        </c:rich>
      </c:tx>
      <c:layout/>
      <c:overlay val="0"/>
      <c:spPr>
        <a:noFill/>
        <a:ln>
          <a:noFill/>
        </a:ln>
        <a:effectLst/>
      </c:spPr>
    </c:title>
    <c:autoTitleDeleted val="0"/>
    <c:plotArea>
      <c:layout/>
      <c:pieChart>
        <c:varyColors val="1"/>
        <c:ser>
          <c:idx val="0"/>
          <c:order val="0"/>
          <c:tx>
            <c:strRef>
              <c:f>Sheet1!$B$1</c:f>
              <c:strCache>
                <c:ptCount val="1"/>
                <c:pt idx="0">
                  <c:v>职称比例</c:v>
                </c:pt>
              </c:strCache>
            </c:strRef>
          </c:tx>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副高以上职称</c:v>
                </c:pt>
                <c:pt idx="1">
                  <c:v>中级职称</c:v>
                </c:pt>
                <c:pt idx="2">
                  <c:v>初级职称</c:v>
                </c:pt>
                <c:pt idx="3">
                  <c:v>无职称</c:v>
                </c:pt>
              </c:strCache>
            </c:strRef>
          </c:cat>
          <c:val>
            <c:numRef>
              <c:f>Sheet1!$B$2:$B$5</c:f>
              <c:numCache>
                <c:formatCode>0.00%</c:formatCode>
                <c:ptCount val="4"/>
                <c:pt idx="0">
                  <c:v>0.081</c:v>
                </c:pt>
                <c:pt idx="1">
                  <c:v>0.337</c:v>
                </c:pt>
                <c:pt idx="2">
                  <c:v>0.489</c:v>
                </c:pt>
                <c:pt idx="3">
                  <c:v>0.093</c:v>
                </c:pt>
              </c:numCache>
            </c:numRef>
          </c:val>
        </c:ser>
        <c:dLbls>
          <c:showLegendKey val="1"/>
          <c:showVal val="1"/>
          <c:showCatName val="1"/>
          <c:showSerName val="1"/>
          <c:showPercent val="1"/>
          <c:showBubbleSize val="1"/>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文化课合格率</c:v>
                </c:pt>
              </c:strCache>
            </c:strRef>
          </c:tx>
          <c:spPr>
            <a:solidFill>
              <a:srgbClr val="5B9BD5">
                <a:alpha val="100000"/>
              </a:srgbClr>
            </a:solidFill>
            <a:ln>
              <a:noFill/>
              <a:round/>
            </a:ln>
          </c:spPr>
          <c:invertIfNegative val="0"/>
          <c:dLbls>
            <c:delete val="1"/>
          </c:dLbls>
          <c:cat>
            <c:strRef>
              <c:f>Sheet1!$A$2</c:f>
              <c:strCache>
                <c:ptCount val="1"/>
                <c:pt idx="0">
                  <c:v>学生测评项目</c:v>
                </c:pt>
              </c:strCache>
            </c:strRef>
          </c:cat>
          <c:val>
            <c:numRef>
              <c:f>Sheet1!$B$2:$B$2</c:f>
              <c:numCache>
                <c:formatCode>0%</c:formatCode>
                <c:ptCount val="1"/>
                <c:pt idx="0">
                  <c:v>0.991</c:v>
                </c:pt>
              </c:numCache>
            </c:numRef>
          </c:val>
        </c:ser>
        <c:ser>
          <c:idx val="1"/>
          <c:order val="1"/>
          <c:tx>
            <c:strRef>
              <c:f>Sheet1!$C$1</c:f>
              <c:strCache>
                <c:ptCount val="1"/>
                <c:pt idx="0">
                  <c:v>专业技能合格率</c:v>
                </c:pt>
              </c:strCache>
            </c:strRef>
          </c:tx>
          <c:spPr>
            <a:solidFill>
              <a:srgbClr val="ED7D31">
                <a:alpha val="100000"/>
              </a:srgbClr>
            </a:solidFill>
            <a:ln>
              <a:noFill/>
              <a:round/>
            </a:ln>
          </c:spPr>
          <c:invertIfNegative val="0"/>
          <c:dLbls>
            <c:delete val="1"/>
          </c:dLbls>
          <c:cat>
            <c:strRef>
              <c:f>Sheet1!$A$2</c:f>
              <c:strCache>
                <c:ptCount val="1"/>
                <c:pt idx="0">
                  <c:v>学生测评项目</c:v>
                </c:pt>
              </c:strCache>
            </c:strRef>
          </c:cat>
          <c:val>
            <c:numRef>
              <c:f>Sheet1!$C$2:$C$2</c:f>
              <c:numCache>
                <c:formatCode>0.00%</c:formatCode>
                <c:ptCount val="1"/>
                <c:pt idx="0">
                  <c:v>0.976</c:v>
                </c:pt>
              </c:numCache>
            </c:numRef>
          </c:val>
        </c:ser>
        <c:ser>
          <c:idx val="2"/>
          <c:order val="2"/>
          <c:tx>
            <c:strRef>
              <c:f>Sheet1!$D$1</c:f>
              <c:strCache>
                <c:ptCount val="1"/>
                <c:pt idx="0">
                  <c:v>体质测评合格率</c:v>
                </c:pt>
              </c:strCache>
            </c:strRef>
          </c:tx>
          <c:spPr>
            <a:solidFill>
              <a:srgbClr val="A5A5A5">
                <a:alpha val="100000"/>
              </a:srgbClr>
            </a:solidFill>
            <a:ln>
              <a:noFill/>
              <a:round/>
            </a:ln>
          </c:spPr>
          <c:invertIfNegative val="0"/>
          <c:dLbls>
            <c:delete val="1"/>
          </c:dLbls>
          <c:cat>
            <c:strRef>
              <c:f>Sheet1!$A$2</c:f>
              <c:strCache>
                <c:ptCount val="1"/>
                <c:pt idx="0">
                  <c:v>学生测评项目</c:v>
                </c:pt>
              </c:strCache>
            </c:strRef>
          </c:cat>
          <c:val>
            <c:numRef>
              <c:f>Sheet1!$D$2:$D$2</c:f>
              <c:numCache>
                <c:formatCode>0.00%</c:formatCode>
                <c:ptCount val="1"/>
                <c:pt idx="0">
                  <c:v>0.982</c:v>
                </c:pt>
              </c:numCache>
            </c:numRef>
          </c:val>
        </c:ser>
        <c:dLbls>
          <c:showLegendKey val="0"/>
          <c:showVal val="0"/>
          <c:showCatName val="0"/>
          <c:showSerName val="0"/>
          <c:showPercent val="0"/>
          <c:showBubbleSize val="0"/>
        </c:dLbls>
        <c:gapWidth val="219"/>
        <c:overlap val="-27"/>
        <c:axId val="1111"/>
        <c:axId val="2222"/>
      </c:barChart>
      <c:catAx>
        <c:axId val="1111"/>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1200" b="1" i="0" u="none" strike="noStrike" kern="1200" baseline="0">
                <a:solidFill>
                  <a:srgbClr val="FF0000"/>
                </a:solidFill>
                <a:latin typeface="宋体" panose="02010600030101010101" charset="-122"/>
                <a:ea typeface="宋体" panose="02010600030101010101" charset="-122"/>
                <a:cs typeface="+mn-cs"/>
              </a:defRPr>
            </a:pPr>
          </a:p>
        </c:txPr>
        <c:crossAx val="2222"/>
        <c:crosses val="autoZero"/>
        <c:auto val="1"/>
        <c:lblAlgn val="ctr"/>
        <c:lblOffset val="100"/>
        <c:noMultiLvlLbl val="0"/>
      </c:catAx>
      <c:valAx>
        <c:axId val="2222"/>
        <c:scaling>
          <c:orientation val="minMax"/>
        </c:scaling>
        <c:delete val="0"/>
        <c:axPos val="l"/>
        <c:majorGridlines>
          <c:spPr>
            <a:ln w="9525" cap="flat" cmpd="sng" algn="ctr">
              <a:solidFill>
                <a:srgbClr val="D9D9D9">
                  <a:alpha val="100000"/>
                </a:srgbClr>
              </a:solidFill>
              <a:prstDash val="solid"/>
              <a:round/>
            </a:ln>
          </c:spPr>
        </c:majorGridlines>
        <c:numFmt formatCode="0%" sourceLinked="1"/>
        <c:majorTickMark val="none"/>
        <c:minorTickMark val="none"/>
        <c:tickLblPos val="nextTo"/>
        <c:spPr>
          <a:noFill/>
          <a:ln w="6350"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1111"/>
        <c:crosses val="autoZero"/>
        <c:crossBetween val="between"/>
      </c:valAx>
      <c:spPr>
        <a:noFill/>
        <a:ln>
          <a:noFill/>
          <a:round/>
        </a:ln>
      </c:spPr>
    </c:plotArea>
    <c:legend>
      <c:legendPos val="b"/>
      <c:legendEntry>
        <c:idx val="0"/>
        <c:txPr>
          <a:bodyPr rot="0" spcFirstLastPara="0" vertOverflow="ellipsis" vert="horz" wrap="square" anchor="ctr" anchorCtr="1"/>
          <a:lstStyle/>
          <a:p>
            <a:pPr>
              <a:defRPr lang="zh-CN" sz="1000" b="1" i="0" u="none" strike="noStrike" kern="1200" baseline="0">
                <a:solidFill>
                  <a:srgbClr val="595959"/>
                </a:solidFill>
                <a:latin typeface="+mn-lt"/>
                <a:ea typeface="+mn-lt"/>
                <a:cs typeface="+mn-cs"/>
              </a:defRPr>
            </a:pPr>
          </a:p>
        </c:txPr>
      </c:legendEntry>
      <c:legendEntry>
        <c:idx val="1"/>
        <c:txPr>
          <a:bodyPr rot="0" spcFirstLastPara="0" vertOverflow="ellipsis" vert="horz" wrap="square" anchor="ctr" anchorCtr="1"/>
          <a:lstStyle/>
          <a:p>
            <a:pPr>
              <a:defRPr lang="zh-CN" sz="1000" b="1" i="0" u="none" strike="noStrike" kern="1200" baseline="0">
                <a:solidFill>
                  <a:srgbClr val="595959"/>
                </a:solidFill>
                <a:latin typeface="+mn-lt"/>
                <a:ea typeface="+mn-lt"/>
                <a:cs typeface="+mn-cs"/>
              </a:defRPr>
            </a:pPr>
          </a:p>
        </c:txPr>
      </c:legendEntry>
      <c:legendEntry>
        <c:idx val="2"/>
        <c:txPr>
          <a:bodyPr rot="0" spcFirstLastPara="0" vertOverflow="ellipsis" vert="horz" wrap="square" anchor="ctr" anchorCtr="1"/>
          <a:lstStyle/>
          <a:p>
            <a:pPr>
              <a:defRPr lang="zh-CN" sz="1000" b="1" i="0" u="none" strike="noStrike" kern="1200" baseline="0">
                <a:solidFill>
                  <a:srgbClr val="595959"/>
                </a:solidFill>
                <a:latin typeface="+mn-lt"/>
                <a:ea typeface="+mn-lt"/>
                <a:cs typeface="+mn-cs"/>
              </a:defRPr>
            </a:pPr>
          </a:p>
        </c:txPr>
      </c:legendEntry>
      <c:layout>
        <c:manualLayout>
          <c:xMode val="edge"/>
          <c:yMode val="edge"/>
          <c:x val="0.268216809026679"/>
          <c:y val="0.835392441860465"/>
        </c:manualLayout>
      </c:layout>
      <c:overlay val="0"/>
      <c:spPr>
        <a:noFill/>
        <a:ln>
          <a:noFill/>
          <a:round/>
        </a:ln>
      </c:spPr>
      <c:txPr>
        <a:bodyPr rot="0" spcFirstLastPara="0" vertOverflow="ellipsis" vert="horz" wrap="square" anchor="ctr" anchorCtr="1"/>
        <a:lstStyle/>
        <a:p>
          <a:pPr>
            <a:defRPr lang="zh-CN" sz="1000" b="1"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Sheet1!$B$1</c:f>
              <c:strCache>
                <c:ptCount val="1"/>
                <c:pt idx="0">
                  <c:v>人数</c:v>
                </c:pt>
              </c:strCache>
            </c:strRef>
          </c:tx>
          <c:spPr/>
          <c:explosion val="0"/>
          <c:dPt>
            <c:idx val="0"/>
            <c:bubble3D val="0"/>
            <c:explosion val="0"/>
            <c:spPr>
              <a:solidFill>
                <a:schemeClr val="accent2"/>
              </a:solidFill>
              <a:ln>
                <a:noFill/>
              </a:ln>
              <a:effectLst>
                <a:outerShdw blurRad="254000" sx="102000" sy="102000" algn="ctr" rotWithShape="0">
                  <a:prstClr val="black">
                    <a:alpha val="20000"/>
                  </a:prstClr>
                </a:outerShdw>
              </a:effectLst>
            </c:spPr>
          </c:dPt>
          <c:dPt>
            <c:idx val="1"/>
            <c:bubble3D val="0"/>
            <c:explosion val="0"/>
            <c:spPr>
              <a:solidFill>
                <a:schemeClr val="accent4"/>
              </a:solidFill>
              <a:ln>
                <a:noFill/>
              </a:ln>
              <a:effectLst>
                <a:outerShdw blurRad="254000" sx="102000" sy="102000" algn="ctr" rotWithShape="0">
                  <a:prstClr val="black">
                    <a:alpha val="20000"/>
                  </a:prstClr>
                </a:outerShdw>
              </a:effectLst>
            </c:spPr>
          </c:dPt>
          <c:dPt>
            <c:idx val="2"/>
            <c:bubble3D val="0"/>
            <c:explosion val="0"/>
            <c:spPr>
              <a:solidFill>
                <a:schemeClr val="accent6"/>
              </a:solidFill>
              <a:ln>
                <a:noFill/>
              </a:ln>
              <a:effectLst>
                <a:outerShdw blurRad="254000" sx="102000" sy="102000" algn="ctr" rotWithShape="0">
                  <a:prstClr val="black">
                    <a:alpha val="20000"/>
                  </a:prstClr>
                </a:outerShdw>
              </a:effectLst>
            </c:spPr>
          </c:dPt>
          <c:dPt>
            <c:idx val="3"/>
            <c:bubble3D val="0"/>
            <c:explosion val="0"/>
            <c:spPr>
              <a:solidFill>
                <a:schemeClr val="accent2">
                  <a:lumMod val="60000"/>
                </a:schemeClr>
              </a:solidFill>
              <a:ln>
                <a:noFill/>
              </a:ln>
              <a:effectLst>
                <a:outerShdw blurRad="254000" sx="102000" sy="102000" algn="ctr" rotWithShape="0">
                  <a:prstClr val="black">
                    <a:alpha val="20000"/>
                  </a:prstClr>
                </a:outerShdw>
              </a:effectLst>
            </c:spPr>
          </c:dPt>
          <c:dPt>
            <c:idx val="4"/>
            <c:bubble3D val="0"/>
            <c:explosion val="0"/>
            <c:spPr>
              <a:solidFill>
                <a:schemeClr val="accent4">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90分及以上</c:v>
                </c:pt>
                <c:pt idx="1">
                  <c:v>80分及以上</c:v>
                </c:pt>
                <c:pt idx="2">
                  <c:v>60分及以上</c:v>
                </c:pt>
                <c:pt idx="3">
                  <c:v>60分及以下</c:v>
                </c:pt>
              </c:strCache>
            </c:strRef>
          </c:cat>
          <c:val>
            <c:numRef>
              <c:f>Sheet1!$B$2:$B$5</c:f>
              <c:numCache>
                <c:formatCode>General</c:formatCode>
                <c:ptCount val="4"/>
                <c:pt idx="0">
                  <c:v>76</c:v>
                </c:pt>
                <c:pt idx="1">
                  <c:v>5</c:v>
                </c:pt>
                <c:pt idx="2">
                  <c:v>4</c:v>
                </c:pt>
                <c:pt idx="3">
                  <c:v>1</c:v>
                </c:pt>
              </c:numCache>
            </c:numRef>
          </c:val>
        </c:ser>
        <c:dLbls>
          <c:showLegendKey val="1"/>
          <c:showVal val="1"/>
          <c:showCatName val="1"/>
          <c:showSerName val="1"/>
          <c:showPercent val="1"/>
          <c:showBubbleSize val="1"/>
          <c:showLeaderLines val="1"/>
        </c:dLbls>
        <c:gapWidth val="100"/>
        <c:splitType val="pos"/>
        <c:splitPos val="2"/>
        <c:secondPieSize val="75"/>
        <c:serLines>
          <c:spPr>
            <a:ln w="9525">
              <a:solidFill>
                <a:schemeClr val="dk1">
                  <a:lumMod val="50000"/>
                  <a:lumOff val="50000"/>
                </a:schemeClr>
              </a:solidFill>
              <a:round/>
            </a:ln>
            <a:effectLst/>
          </c:spPr>
        </c:serLines>
      </c:of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51388888888889"/>
          <c:y val="0.181712962962963"/>
          <c:w val="0.914583333333333"/>
          <c:h val="0.595"/>
        </c:manualLayout>
      </c:layout>
      <c:barChart>
        <c:barDir val="col"/>
        <c:grouping val="clustered"/>
        <c:varyColors val="0"/>
        <c:ser>
          <c:idx val="0"/>
          <c:order val="0"/>
          <c:tx>
            <c:strRef>
              <c:f>Sheet1!$B$1</c:f>
              <c:strCache>
                <c:ptCount val="1"/>
                <c:pt idx="0">
                  <c:v>2019年</c:v>
                </c:pt>
              </c:strCache>
            </c:strRef>
          </c:tx>
          <c:spPr>
            <a:solidFill>
              <a:srgbClr val="42506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境外培训</c:v>
                </c:pt>
                <c:pt idx="1">
                  <c:v>省外培训</c:v>
                </c:pt>
                <c:pt idx="2">
                  <c:v>省内培训</c:v>
                </c:pt>
                <c:pt idx="3">
                  <c:v>其它培训</c:v>
                </c:pt>
              </c:strCache>
            </c:strRef>
          </c:cat>
          <c:val>
            <c:numRef>
              <c:f>Sheet1!$B$2:$B$5</c:f>
              <c:numCache>
                <c:formatCode>General</c:formatCode>
                <c:ptCount val="4"/>
                <c:pt idx="0">
                  <c:v>8</c:v>
                </c:pt>
                <c:pt idx="1">
                  <c:v>15</c:v>
                </c:pt>
                <c:pt idx="2">
                  <c:v>113</c:v>
                </c:pt>
                <c:pt idx="3">
                  <c:v>7</c:v>
                </c:pt>
              </c:numCache>
            </c:numRef>
          </c:val>
        </c:ser>
        <c:ser>
          <c:idx val="1"/>
          <c:order val="1"/>
          <c:tx>
            <c:strRef>
              <c:f>Sheet1!$C$1</c:f>
              <c:strCache>
                <c:ptCount val="1"/>
                <c:pt idx="0">
                  <c:v>2020年</c:v>
                </c:pt>
              </c:strCache>
            </c:strRef>
          </c:tx>
          <c:spPr>
            <a:solidFill>
              <a:srgbClr val="F04A4C"/>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境外培训</c:v>
                </c:pt>
                <c:pt idx="1">
                  <c:v>省外培训</c:v>
                </c:pt>
                <c:pt idx="2">
                  <c:v>省内培训</c:v>
                </c:pt>
                <c:pt idx="3">
                  <c:v>其它培训</c:v>
                </c:pt>
              </c:strCache>
            </c:strRef>
          </c:cat>
          <c:val>
            <c:numRef>
              <c:f>Sheet1!$C$2:$C$5</c:f>
              <c:numCache>
                <c:formatCode>General</c:formatCode>
                <c:ptCount val="4"/>
                <c:pt idx="0">
                  <c:v>0</c:v>
                </c:pt>
                <c:pt idx="1">
                  <c:v>0</c:v>
                </c:pt>
                <c:pt idx="2">
                  <c:v>26</c:v>
                </c:pt>
                <c:pt idx="3">
                  <c:v>58</c:v>
                </c:pt>
              </c:numCache>
            </c:numRef>
          </c:val>
        </c:ser>
        <c:ser>
          <c:idx val="2"/>
          <c:order val="2"/>
          <c:tx>
            <c:strRef>
              <c:f>Sheet1!$D$1</c:f>
              <c:strCache>
                <c:ptCount val="1"/>
                <c:pt idx="0">
                  <c:v>2021年</c:v>
                </c:pt>
              </c:strCache>
            </c:strRef>
          </c:tx>
          <c:spPr>
            <a:solidFill>
              <a:srgbClr val="3E619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境外培训</c:v>
                </c:pt>
                <c:pt idx="1">
                  <c:v>省外培训</c:v>
                </c:pt>
                <c:pt idx="2">
                  <c:v>省内培训</c:v>
                </c:pt>
                <c:pt idx="3">
                  <c:v>其它培训</c:v>
                </c:pt>
              </c:strCache>
            </c:strRef>
          </c:cat>
          <c:val>
            <c:numRef>
              <c:f>Sheet1!$D$2:$D$5</c:f>
              <c:numCache>
                <c:formatCode>General</c:formatCode>
                <c:ptCount val="4"/>
                <c:pt idx="0">
                  <c:v>0</c:v>
                </c:pt>
                <c:pt idx="1">
                  <c:v>0</c:v>
                </c:pt>
                <c:pt idx="2">
                  <c:v>17</c:v>
                </c:pt>
                <c:pt idx="3">
                  <c:v>76</c:v>
                </c:pt>
              </c:numCache>
            </c:numRef>
          </c:val>
        </c:ser>
        <c:dLbls>
          <c:showLegendKey val="0"/>
          <c:showVal val="1"/>
          <c:showCatName val="0"/>
          <c:showSerName val="0"/>
          <c:showPercent val="0"/>
          <c:showBubbleSize val="0"/>
        </c:dLbls>
        <c:gapWidth val="219"/>
        <c:overlap val="-27"/>
        <c:axId val="1111"/>
        <c:axId val="2222"/>
      </c:barChart>
      <c:catAx>
        <c:axId val="111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alpha val="41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222"/>
        <c:crosses val="autoZero"/>
        <c:auto val="1"/>
        <c:lblAlgn val="ctr"/>
        <c:lblOffset val="100"/>
        <c:noMultiLvlLbl val="0"/>
      </c:catAx>
      <c:valAx>
        <c:axId val="222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1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2A3950"/>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人</c:v>
                </c:pt>
              </c:strCache>
            </c:strRef>
          </c:tx>
          <c:spPr/>
          <c:explosion val="0"/>
          <c:dPt>
            <c:idx val="0"/>
            <c:bubble3D val="0"/>
            <c:explosion val="0"/>
            <c:spPr>
              <a:solidFill>
                <a:schemeClr val="accent1"/>
              </a:solidFill>
              <a:ln>
                <a:noFill/>
              </a:ln>
              <a:effectLst>
                <a:outerShdw blurRad="254000" sx="102000" sy="102000" algn="ctr" rotWithShape="0">
                  <a:prstClr val="black">
                    <a:alpha val="20000"/>
                  </a:prstClr>
                </a:outerShdw>
              </a:effectLst>
            </c:spPr>
          </c:dPt>
          <c:dPt>
            <c:idx val="1"/>
            <c:bubble3D val="0"/>
            <c:explosion val="0"/>
            <c:spPr>
              <a:solidFill>
                <a:schemeClr val="accent2"/>
              </a:solidFill>
              <a:ln>
                <a:noFill/>
              </a:ln>
              <a:effectLst>
                <a:outerShdw blurRad="254000" sx="102000" sy="102000" algn="ctr" rotWithShape="0">
                  <a:prstClr val="black">
                    <a:alpha val="20000"/>
                  </a:prstClr>
                </a:outerShdw>
              </a:effectLst>
            </c:spPr>
          </c:dPt>
          <c:dPt>
            <c:idx val="2"/>
            <c:bubble3D val="0"/>
            <c:explosion val="0"/>
            <c:spPr>
              <a:solidFill>
                <a:schemeClr val="accent3"/>
              </a:solidFill>
              <a:ln>
                <a:noFill/>
              </a:ln>
              <a:effectLst>
                <a:outerShdw blurRad="254000" sx="102000" sy="102000" algn="ctr" rotWithShape="0">
                  <a:prstClr val="black">
                    <a:alpha val="20000"/>
                  </a:prstClr>
                </a:outerShdw>
              </a:effectLst>
            </c:spPr>
          </c:dPt>
          <c:dPt>
            <c:idx val="3"/>
            <c:bubble3D val="0"/>
            <c:explosion val="0"/>
            <c:spPr>
              <a:solidFill>
                <a:schemeClr val="accent4"/>
              </a:solidFill>
              <a:ln>
                <a:noFill/>
              </a:ln>
              <a:effectLst>
                <a:outerShdw blurRad="254000" sx="102000" sy="102000" algn="ctr" rotWithShape="0">
                  <a:prstClr val="black">
                    <a:alpha val="20000"/>
                  </a:prstClr>
                </a:outerShdw>
              </a:effectLst>
            </c:spPr>
          </c:dPt>
          <c:dPt>
            <c:idx val="4"/>
            <c:bubble3D val="0"/>
            <c:explosion val="0"/>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Sheet1!$A$2:$A$6</c:f>
              <c:strCache>
                <c:ptCount val="5"/>
                <c:pt idx="0">
                  <c:v>非常满意</c:v>
                </c:pt>
                <c:pt idx="1">
                  <c:v>满意</c:v>
                </c:pt>
                <c:pt idx="2">
                  <c:v>比较满意</c:v>
                </c:pt>
                <c:pt idx="3">
                  <c:v>不满意</c:v>
                </c:pt>
                <c:pt idx="4">
                  <c:v>无法评估</c:v>
                </c:pt>
              </c:strCache>
            </c:strRef>
          </c:cat>
          <c:val>
            <c:numRef>
              <c:f>Sheet1!$B$2:$B$6</c:f>
              <c:numCache>
                <c:formatCode>General</c:formatCode>
                <c:ptCount val="5"/>
                <c:pt idx="0">
                  <c:v>178</c:v>
                </c:pt>
                <c:pt idx="1">
                  <c:v>116</c:v>
                </c:pt>
                <c:pt idx="2">
                  <c:v>85</c:v>
                </c:pt>
                <c:pt idx="3">
                  <c:v>19</c:v>
                </c:pt>
                <c:pt idx="4">
                  <c:v>12</c:v>
                </c:pt>
              </c:numCache>
            </c:numRef>
          </c:val>
        </c:ser>
        <c:dLbls>
          <c:showLegendKey val="1"/>
          <c:showVal val="1"/>
          <c:showCatName val="1"/>
          <c:showSerName val="1"/>
          <c:showPercent val="1"/>
          <c:showBubbleSize val="1"/>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2309</Words>
  <Characters>15445</Characters>
  <Lines>109</Lines>
  <Paragraphs>30</Paragraphs>
  <TotalTime>35</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2018-12-11T06:44:00Z</dcterms:created>
  <dc:creator>BanZhiqiang</dc:creator>
  <cp:lastModifiedBy>成都华夏旅游商务学校陈老师</cp:lastModifiedBy>
  <cp:lastPrinted>2021-12-01T01:44:53Z</cp:lastPrinted>
  <dcterms:modified xsi:type="dcterms:W3CDTF">2021-12-01T01:47:49Z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9ED899FE99A046CE9921AA9D34416E00</vt:lpwstr>
  </property>
</Properties>
</file>