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723" w:firstLineChars="200"/>
        <w:jc w:val="center"/>
        <w:rPr>
          <w:rFonts w:ascii="宋体" w:hAnsi="宋体" w:cs="宋体"/>
          <w:b/>
          <w:bCs/>
          <w:kern w:val="0"/>
          <w:sz w:val="36"/>
          <w:szCs w:val="36"/>
          <w:shd w:val="clear" w:color="auto" w:fill="FFFFFF"/>
          <w:lang w:bidi="ar"/>
        </w:rPr>
      </w:pPr>
      <w:r>
        <w:rPr>
          <w:rFonts w:hint="eastAsia" w:ascii="宋体" w:hAnsi="宋体" w:cs="宋体"/>
          <w:b/>
          <w:bCs/>
          <w:kern w:val="0"/>
          <w:sz w:val="36"/>
          <w:szCs w:val="36"/>
          <w:shd w:val="clear" w:color="auto" w:fill="FFFFFF"/>
          <w:lang w:bidi="ar"/>
        </w:rPr>
        <w:t>成都指南针职业技术学校</w:t>
      </w:r>
    </w:p>
    <w:p>
      <w:pPr>
        <w:widowControl/>
        <w:shd w:val="clear" w:color="auto" w:fill="FFFFFF"/>
        <w:spacing w:line="360" w:lineRule="auto"/>
        <w:ind w:firstLine="723" w:firstLineChars="200"/>
        <w:jc w:val="center"/>
        <w:rPr>
          <w:rFonts w:ascii="宋体" w:hAnsi="宋体" w:cs="宋体"/>
          <w:b/>
          <w:bCs/>
          <w:kern w:val="0"/>
          <w:sz w:val="36"/>
          <w:szCs w:val="36"/>
          <w:shd w:val="clear" w:color="auto" w:fill="FFFFFF"/>
          <w:lang w:bidi="ar"/>
        </w:rPr>
      </w:pPr>
      <w:r>
        <w:rPr>
          <w:rFonts w:hint="eastAsia" w:ascii="宋体" w:hAnsi="宋体" w:cs="宋体"/>
          <w:b/>
          <w:bCs/>
          <w:kern w:val="0"/>
          <w:sz w:val="36"/>
          <w:szCs w:val="36"/>
          <w:shd w:val="clear" w:color="auto" w:fill="FFFFFF"/>
          <w:lang w:bidi="ar"/>
        </w:rPr>
        <w:t>2021年度教育质量报告</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 学校情况</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1.1学校情况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成都指南针职业学校于2007年8月由成都市教育局成教社（2007）19号文件批准成立，同年9月双流县教育局颁发了办学许可证；学校位于四川省成都市双流区黄水镇绍兴街67号，属民办中等职业教育，占地面积100余亩，建筑面积约35000㎡，现有50余个教学班，在校2000余名学生，教职工100余名，固定资产6600余万元，学校现开设计算机应用、汽车运用与维修、会计事务，工商行政管理事务、建筑工程施工、建筑装饰设计、旅游服务与管理等七大专业。  </w:t>
      </w:r>
    </w:p>
    <w:p>
      <w:pPr>
        <w:widowControl/>
        <w:shd w:val="clear" w:color="auto" w:fill="FFFFFF"/>
        <w:spacing w:line="360" w:lineRule="auto"/>
        <w:ind w:firstLine="602" w:firstLineChars="200"/>
        <w:rPr>
          <w:rFonts w:ascii="宋体" w:hAnsi="宋体" w:cs="宋体"/>
          <w:sz w:val="30"/>
          <w:szCs w:val="30"/>
        </w:rPr>
      </w:pPr>
      <w:r>
        <w:rPr>
          <w:rFonts w:hint="eastAsia" w:ascii="宋体" w:hAnsi="宋体" w:cs="宋体"/>
          <w:b/>
          <w:kern w:val="0"/>
          <w:sz w:val="30"/>
          <w:szCs w:val="30"/>
          <w:shd w:val="clear" w:color="auto" w:fill="FFFFFF"/>
          <w:lang w:bidi="ar"/>
        </w:rPr>
        <w:t>1.2学生情况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2021年，学校全日制招生721人，其中按生源地分，新生生源地本省为682人，外地为39人。全日制在籍学生2020人（其中2019级653人顶岗实习）。2018级毕业生人数1112人，岗位技能培训839人。</w:t>
      </w:r>
    </w:p>
    <w:p>
      <w:pPr>
        <w:widowControl/>
        <w:shd w:val="clear" w:color="auto" w:fill="FFFFFF"/>
        <w:spacing w:line="360" w:lineRule="auto"/>
        <w:ind w:firstLine="602" w:firstLineChars="200"/>
        <w:rPr>
          <w:rFonts w:ascii="宋体" w:hAnsi="宋体" w:cs="宋体"/>
          <w:sz w:val="30"/>
          <w:szCs w:val="30"/>
        </w:rPr>
      </w:pPr>
      <w:r>
        <w:rPr>
          <w:rFonts w:hint="eastAsia" w:ascii="宋体" w:hAnsi="宋体" w:cs="宋体"/>
          <w:b/>
          <w:kern w:val="0"/>
          <w:sz w:val="30"/>
          <w:szCs w:val="30"/>
          <w:shd w:val="clear" w:color="auto" w:fill="FFFFFF"/>
          <w:lang w:bidi="ar"/>
        </w:rPr>
        <w:t>1.3教师队伍</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2021年，学校通过聘任和多渠道培养培训等措施，逐步充实教师队伍，提高教师整体素质，师资队伍结构更加趋向合理。现有专任教师73人，在校师生比为1：18.7。专任教师中，本科学历教师65人，研究生学历教师1人。</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1.4设施设备</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生均设备值为2671，生均实习工位数1.1个。生均纸质图书9册左右。</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思想政治上：学校积极培育和践行社会主义核心价值观，紧紧围绕“安全、服务、质量、合作、创新”工作新思路，实施“做人与做事同学，技能与素养同修，成人与成才同步”的“三同”育人模式，把“三同”融入到课程设置、日常教育教学和管理、校园文化建设等学校教育、管理和活动中，以学生学会做人为前提，培养学生学会做事的能力；在培养学生职业技能为核心的同时，注重学生职业素养的培养；在培养学生具有良好思想品德的同时，使每一个学生都学到一技之长，成为对社会有用的人，实现了成人与成才同步的目标，促进了学生德、智、体、美、劳全面发展。</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文化学习上：经过阶段性、系统性的学习，我校学生文化课合格率高达95.3%，体质测评合格率98.8%。专业技能合格率93%，毕业率100%。</w:t>
      </w:r>
    </w:p>
    <w:p>
      <w:pPr>
        <w:widowControl/>
        <w:spacing w:line="360" w:lineRule="auto"/>
        <w:ind w:firstLine="602" w:firstLineChars="200"/>
        <w:rPr>
          <w:rFonts w:ascii="宋体" w:hAnsi="宋体" w:cs="宋体"/>
          <w:b/>
          <w:bCs/>
          <w:sz w:val="30"/>
          <w:szCs w:val="30"/>
        </w:rPr>
      </w:pPr>
      <w:r>
        <w:rPr>
          <w:rFonts w:hint="eastAsia" w:ascii="宋体" w:hAnsi="宋体" w:cs="宋体"/>
          <w:b/>
          <w:bCs/>
          <w:sz w:val="30"/>
          <w:szCs w:val="30"/>
        </w:rPr>
        <w:t>2.</w:t>
      </w:r>
      <w:r>
        <w:rPr>
          <w:rFonts w:hint="eastAsia" w:ascii="宋体" w:hAnsi="宋体" w:cs="宋体"/>
          <w:b/>
          <w:bCs/>
          <w:sz w:val="30"/>
          <w:szCs w:val="30"/>
          <w:lang w:val="en-US" w:eastAsia="zh-CN"/>
        </w:rPr>
        <w:t>1</w:t>
      </w:r>
      <w:r>
        <w:rPr>
          <w:rFonts w:hint="eastAsia" w:ascii="宋体" w:hAnsi="宋体" w:cs="宋体"/>
          <w:b/>
          <w:bCs/>
          <w:sz w:val="30"/>
          <w:szCs w:val="30"/>
        </w:rPr>
        <w:t xml:space="preserve"> 在校体验</w:t>
      </w:r>
    </w:p>
    <w:p>
      <w:pPr>
        <w:widowControl/>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sz w:val="28"/>
          <w:szCs w:val="28"/>
        </w:rPr>
        <w:t>在学生满意度方面，学校大力建设社团组织活动，现学校团委学生会、校卫队和社团共计开设20余个，其中学生会部门12个，社团活动社部门10个、校卫队部门1个。参与学生达到600余人次。学校定期开展大中小型活动，力求每月都有1次校级活动，每周都有1次班级活动。丰富学生在校可以生活。学校每月定期开展学生匿名满意度调查，及时反馈教育教学、生活后勤、安保等各部门在学生群体的满意度，通过不断调查和整改，现目前学生对学校满意度可以达到近95%以上满意。</w:t>
      </w:r>
    </w:p>
    <w:p>
      <w:pPr>
        <w:pStyle w:val="4"/>
        <w:widowControl/>
        <w:shd w:val="clear" w:color="auto" w:fill="FFFFFF"/>
        <w:spacing w:line="360" w:lineRule="auto"/>
        <w:ind w:firstLine="602" w:firstLineChars="200"/>
        <w:rPr>
          <w:rFonts w:ascii="宋体" w:hAnsi="宋体" w:cs="宋体"/>
          <w:sz w:val="30"/>
          <w:szCs w:val="30"/>
        </w:rPr>
      </w:pPr>
      <w:r>
        <w:rPr>
          <w:rFonts w:hint="eastAsia" w:ascii="宋体" w:hAnsi="宋体" w:cs="宋体"/>
          <w:b/>
          <w:sz w:val="30"/>
          <w:szCs w:val="30"/>
          <w:shd w:val="clear" w:color="auto" w:fill="FFFFFF"/>
        </w:rPr>
        <w:t>2.</w:t>
      </w:r>
      <w:r>
        <w:rPr>
          <w:rFonts w:hint="eastAsia" w:ascii="宋体" w:hAnsi="宋体" w:cs="宋体"/>
          <w:b/>
          <w:sz w:val="30"/>
          <w:szCs w:val="30"/>
          <w:shd w:val="clear" w:color="auto" w:fill="FFFFFF"/>
          <w:lang w:val="en-US" w:eastAsia="zh-CN"/>
        </w:rPr>
        <w:t>2</w:t>
      </w:r>
      <w:r>
        <w:rPr>
          <w:rFonts w:hint="eastAsia" w:ascii="宋体" w:hAnsi="宋体" w:cs="宋体"/>
          <w:b/>
          <w:sz w:val="30"/>
          <w:szCs w:val="30"/>
          <w:shd w:val="clear" w:color="auto" w:fill="FFFFFF"/>
        </w:rPr>
        <w:t>资助情况</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严格贯彻落实国家提出的“进一步建立和健全贫困生扶助长效机制，帮助各阶段在校学生顺利完成学业，绝不让一个学生因家庭贫困而失学”的工作任务，同时贯彻落关于“实事求是，因地制宜，分类指导，精准扶贫”的工作方针。</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我校主要资助方面有国家免学费、国家助学金、免住宿费。在国家免学费方面，2021年度春季享受免学费人数为2451人次，秋季免学费2020人次。2021年度春季国家助学金345人次、秋季国家助学金287人次。学校家庭经济困难学生补助，主要是补助给我校部分家庭经济比较困难的学生。从而保障了我校每一位贫困学生不因经济困难而辍学，保障贫困学生安心学习，正常生活和身心健康成长。</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2.</w:t>
      </w:r>
      <w:r>
        <w:rPr>
          <w:rFonts w:hint="eastAsia" w:ascii="宋体" w:hAnsi="宋体" w:cs="宋体"/>
          <w:b/>
          <w:bCs/>
          <w:sz w:val="30"/>
          <w:szCs w:val="30"/>
          <w:lang w:val="en-US" w:eastAsia="zh-CN"/>
        </w:rPr>
        <w:t>3</w:t>
      </w:r>
      <w:r>
        <w:rPr>
          <w:rFonts w:hint="eastAsia" w:ascii="宋体" w:hAnsi="宋体" w:cs="宋体"/>
          <w:b/>
          <w:bCs/>
          <w:sz w:val="30"/>
          <w:szCs w:val="30"/>
        </w:rPr>
        <w:t xml:space="preserve"> 就业质量</w:t>
      </w:r>
    </w:p>
    <w:p>
      <w:pPr>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2021年，我校2018级毕业生人数为1112人，</w:t>
      </w:r>
      <w:r>
        <w:rPr>
          <w:rFonts w:hint="eastAsia" w:ascii="宋体" w:hAnsi="宋体" w:cs="宋体"/>
          <w:sz w:val="28"/>
          <w:szCs w:val="28"/>
        </w:rPr>
        <w:t>就业学生人数为562人，升学550人，直接就业人数为549人，就业率为99%，其中对口就业率为92%，人数为505人。分专业就业率、对口就业率、初次就业起薪，升入高等教育比例及与上一年度相比的变化情况如下：</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专业</w:t>
            </w:r>
          </w:p>
        </w:tc>
        <w:tc>
          <w:tcPr>
            <w:tcW w:w="2841" w:type="dxa"/>
          </w:tcPr>
          <w:p>
            <w:pPr>
              <w:spacing w:line="360" w:lineRule="auto"/>
              <w:jc w:val="center"/>
              <w:rPr>
                <w:rFonts w:ascii="宋体" w:hAnsi="宋体" w:cs="宋体"/>
                <w:szCs w:val="21"/>
              </w:rPr>
            </w:pPr>
            <w:r>
              <w:rPr>
                <w:rFonts w:hint="eastAsia" w:ascii="宋体" w:hAnsi="宋体" w:cs="宋体"/>
                <w:szCs w:val="21"/>
              </w:rPr>
              <w:t>毕业人数</w:t>
            </w:r>
          </w:p>
        </w:tc>
        <w:tc>
          <w:tcPr>
            <w:tcW w:w="2365" w:type="dxa"/>
          </w:tcPr>
          <w:p>
            <w:pPr>
              <w:spacing w:line="360" w:lineRule="auto"/>
              <w:jc w:val="center"/>
              <w:rPr>
                <w:rFonts w:ascii="宋体" w:hAnsi="宋体" w:cs="宋体"/>
                <w:szCs w:val="21"/>
              </w:rPr>
            </w:pPr>
            <w:r>
              <w:rPr>
                <w:rFonts w:hint="eastAsia" w:ascii="宋体" w:hAnsi="宋体" w:cs="宋体"/>
                <w:szCs w:val="21"/>
              </w:rPr>
              <w:t>升学人数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计算机应用</w:t>
            </w:r>
          </w:p>
        </w:tc>
        <w:tc>
          <w:tcPr>
            <w:tcW w:w="2841" w:type="dxa"/>
          </w:tcPr>
          <w:p>
            <w:pPr>
              <w:spacing w:line="360" w:lineRule="auto"/>
              <w:jc w:val="center"/>
              <w:rPr>
                <w:rFonts w:ascii="宋体" w:hAnsi="宋体" w:cs="宋体"/>
                <w:szCs w:val="21"/>
              </w:rPr>
            </w:pPr>
            <w:r>
              <w:rPr>
                <w:rFonts w:hint="eastAsia" w:ascii="宋体" w:hAnsi="宋体" w:cs="宋体"/>
                <w:szCs w:val="21"/>
              </w:rPr>
              <w:t>287</w:t>
            </w:r>
          </w:p>
        </w:tc>
        <w:tc>
          <w:tcPr>
            <w:tcW w:w="2365" w:type="dxa"/>
          </w:tcPr>
          <w:p>
            <w:pPr>
              <w:spacing w:line="360" w:lineRule="auto"/>
              <w:jc w:val="center"/>
              <w:rPr>
                <w:rFonts w:ascii="宋体" w:hAnsi="宋体" w:cs="宋体"/>
                <w:szCs w:val="21"/>
              </w:rPr>
            </w:pPr>
            <w:r>
              <w:rPr>
                <w:rFonts w:hint="eastAsia" w:ascii="宋体" w:hAnsi="宋体" w:cs="宋体"/>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40" w:type="dxa"/>
          </w:tcPr>
          <w:p>
            <w:pPr>
              <w:spacing w:line="360" w:lineRule="auto"/>
              <w:jc w:val="center"/>
              <w:rPr>
                <w:rFonts w:ascii="宋体" w:hAnsi="宋体" w:cs="宋体"/>
                <w:szCs w:val="21"/>
              </w:rPr>
            </w:pPr>
            <w:r>
              <w:rPr>
                <w:rFonts w:hint="eastAsia" w:ascii="宋体" w:hAnsi="宋体" w:cs="宋体"/>
                <w:szCs w:val="21"/>
              </w:rPr>
              <w:t>建筑装饰</w:t>
            </w:r>
          </w:p>
        </w:tc>
        <w:tc>
          <w:tcPr>
            <w:tcW w:w="2841" w:type="dxa"/>
          </w:tcPr>
          <w:p>
            <w:pPr>
              <w:spacing w:line="360" w:lineRule="auto"/>
              <w:jc w:val="center"/>
              <w:rPr>
                <w:rFonts w:ascii="宋体" w:hAnsi="宋体" w:cs="宋体"/>
                <w:szCs w:val="21"/>
              </w:rPr>
            </w:pPr>
            <w:r>
              <w:rPr>
                <w:rFonts w:hint="eastAsia" w:ascii="宋体" w:hAnsi="宋体" w:cs="宋体"/>
                <w:szCs w:val="21"/>
              </w:rPr>
              <w:t>72</w:t>
            </w:r>
          </w:p>
        </w:tc>
        <w:tc>
          <w:tcPr>
            <w:tcW w:w="2365" w:type="dxa"/>
          </w:tcPr>
          <w:p>
            <w:pPr>
              <w:spacing w:line="360" w:lineRule="auto"/>
              <w:jc w:val="center"/>
              <w:rPr>
                <w:rFonts w:ascii="宋体" w:hAnsi="宋体" w:cs="宋体"/>
                <w:szCs w:val="21"/>
              </w:rPr>
            </w:pPr>
            <w:r>
              <w:rPr>
                <w:rFonts w:hint="eastAsia" w:ascii="宋体" w:hAnsi="宋体" w:cs="宋体"/>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建筑工程施工</w:t>
            </w:r>
          </w:p>
        </w:tc>
        <w:tc>
          <w:tcPr>
            <w:tcW w:w="2841" w:type="dxa"/>
          </w:tcPr>
          <w:p>
            <w:pPr>
              <w:spacing w:line="360" w:lineRule="auto"/>
              <w:jc w:val="center"/>
              <w:rPr>
                <w:rFonts w:ascii="宋体" w:hAnsi="宋体" w:cs="宋体"/>
                <w:szCs w:val="21"/>
              </w:rPr>
            </w:pPr>
            <w:r>
              <w:rPr>
                <w:rFonts w:hint="eastAsia" w:ascii="宋体" w:hAnsi="宋体" w:cs="宋体"/>
                <w:szCs w:val="21"/>
              </w:rPr>
              <w:t>35</w:t>
            </w:r>
          </w:p>
        </w:tc>
        <w:tc>
          <w:tcPr>
            <w:tcW w:w="2365" w:type="dxa"/>
          </w:tcPr>
          <w:p>
            <w:pPr>
              <w:spacing w:line="360" w:lineRule="auto"/>
              <w:jc w:val="center"/>
              <w:rPr>
                <w:rFonts w:ascii="宋体" w:hAnsi="宋体" w:cs="宋体"/>
                <w:szCs w:val="21"/>
              </w:rPr>
            </w:pPr>
            <w:r>
              <w:rPr>
                <w:rFonts w:hint="eastAsia" w:ascii="宋体" w:hAnsi="宋体" w:cs="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学前教育</w:t>
            </w:r>
          </w:p>
        </w:tc>
        <w:tc>
          <w:tcPr>
            <w:tcW w:w="2841" w:type="dxa"/>
          </w:tcPr>
          <w:p>
            <w:pPr>
              <w:spacing w:line="360" w:lineRule="auto"/>
              <w:jc w:val="center"/>
              <w:rPr>
                <w:rFonts w:ascii="宋体" w:hAnsi="宋体" w:cs="宋体"/>
                <w:szCs w:val="21"/>
              </w:rPr>
            </w:pPr>
            <w:r>
              <w:rPr>
                <w:rFonts w:hint="eastAsia" w:ascii="宋体" w:hAnsi="宋体" w:cs="宋体"/>
                <w:szCs w:val="21"/>
              </w:rPr>
              <w:t>262</w:t>
            </w:r>
          </w:p>
        </w:tc>
        <w:tc>
          <w:tcPr>
            <w:tcW w:w="2365" w:type="dxa"/>
          </w:tcPr>
          <w:p>
            <w:pPr>
              <w:spacing w:line="360" w:lineRule="auto"/>
              <w:jc w:val="center"/>
              <w:rPr>
                <w:rFonts w:ascii="宋体" w:hAnsi="宋体" w:cs="宋体"/>
                <w:szCs w:val="21"/>
              </w:rPr>
            </w:pPr>
            <w:r>
              <w:rPr>
                <w:rFonts w:hint="eastAsia" w:ascii="宋体" w:hAnsi="宋体" w:cs="宋体"/>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旅游服务与管理</w:t>
            </w:r>
          </w:p>
        </w:tc>
        <w:tc>
          <w:tcPr>
            <w:tcW w:w="2841" w:type="dxa"/>
          </w:tcPr>
          <w:p>
            <w:pPr>
              <w:spacing w:line="360" w:lineRule="auto"/>
              <w:jc w:val="center"/>
              <w:rPr>
                <w:rFonts w:ascii="宋体" w:hAnsi="宋体" w:cs="宋体"/>
                <w:szCs w:val="21"/>
              </w:rPr>
            </w:pPr>
            <w:r>
              <w:rPr>
                <w:rFonts w:hint="eastAsia" w:ascii="宋体" w:hAnsi="宋体" w:cs="宋体"/>
                <w:szCs w:val="21"/>
              </w:rPr>
              <w:t>52</w:t>
            </w:r>
          </w:p>
        </w:tc>
        <w:tc>
          <w:tcPr>
            <w:tcW w:w="2365" w:type="dxa"/>
          </w:tcPr>
          <w:p>
            <w:pPr>
              <w:spacing w:line="360" w:lineRule="auto"/>
              <w:jc w:val="center"/>
              <w:rPr>
                <w:rFonts w:ascii="宋体" w:hAnsi="宋体" w:cs="宋体"/>
                <w:szCs w:val="21"/>
              </w:rPr>
            </w:pPr>
            <w:r>
              <w:rPr>
                <w:rFonts w:hint="eastAsia" w:ascii="宋体" w:hAnsi="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会计电算化</w:t>
            </w:r>
          </w:p>
        </w:tc>
        <w:tc>
          <w:tcPr>
            <w:tcW w:w="2841" w:type="dxa"/>
          </w:tcPr>
          <w:p>
            <w:pPr>
              <w:spacing w:line="360" w:lineRule="auto"/>
              <w:jc w:val="center"/>
              <w:rPr>
                <w:rFonts w:ascii="宋体" w:hAnsi="宋体" w:cs="宋体"/>
                <w:szCs w:val="21"/>
              </w:rPr>
            </w:pPr>
            <w:r>
              <w:rPr>
                <w:rFonts w:hint="eastAsia" w:ascii="宋体" w:hAnsi="宋体" w:cs="宋体"/>
                <w:szCs w:val="21"/>
              </w:rPr>
              <w:t>46</w:t>
            </w:r>
          </w:p>
        </w:tc>
        <w:tc>
          <w:tcPr>
            <w:tcW w:w="2365" w:type="dxa"/>
          </w:tcPr>
          <w:p>
            <w:pPr>
              <w:spacing w:line="360" w:lineRule="auto"/>
              <w:jc w:val="center"/>
              <w:rPr>
                <w:rFonts w:ascii="宋体" w:hAnsi="宋体" w:cs="宋体"/>
                <w:szCs w:val="21"/>
              </w:rPr>
            </w:pPr>
            <w:r>
              <w:rPr>
                <w:rFonts w:hint="eastAsia" w:ascii="宋体" w:hAnsi="宋体" w:cs="宋体"/>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工商行政管理事务</w:t>
            </w:r>
          </w:p>
        </w:tc>
        <w:tc>
          <w:tcPr>
            <w:tcW w:w="2841" w:type="dxa"/>
          </w:tcPr>
          <w:p>
            <w:pPr>
              <w:spacing w:line="360" w:lineRule="auto"/>
              <w:jc w:val="center"/>
              <w:rPr>
                <w:rFonts w:ascii="宋体" w:hAnsi="宋体" w:cs="宋体"/>
                <w:szCs w:val="21"/>
              </w:rPr>
            </w:pPr>
            <w:r>
              <w:rPr>
                <w:rFonts w:hint="eastAsia" w:ascii="宋体" w:hAnsi="宋体" w:cs="宋体"/>
                <w:szCs w:val="21"/>
              </w:rPr>
              <w:t>46</w:t>
            </w:r>
          </w:p>
        </w:tc>
        <w:tc>
          <w:tcPr>
            <w:tcW w:w="2365" w:type="dxa"/>
          </w:tcPr>
          <w:p>
            <w:pPr>
              <w:spacing w:line="360" w:lineRule="auto"/>
              <w:jc w:val="center"/>
              <w:rPr>
                <w:rFonts w:ascii="宋体" w:hAnsi="宋体" w:cs="宋体"/>
                <w:szCs w:val="21"/>
              </w:rPr>
            </w:pPr>
            <w:r>
              <w:rPr>
                <w:rFonts w:hint="eastAsia" w:ascii="宋体" w:hAnsi="宋体" w:cs="宋体"/>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汽修运用与维修</w:t>
            </w:r>
          </w:p>
        </w:tc>
        <w:tc>
          <w:tcPr>
            <w:tcW w:w="2841" w:type="dxa"/>
          </w:tcPr>
          <w:p>
            <w:pPr>
              <w:spacing w:line="360" w:lineRule="auto"/>
              <w:jc w:val="center"/>
              <w:rPr>
                <w:rFonts w:ascii="宋体" w:hAnsi="宋体" w:cs="宋体"/>
                <w:szCs w:val="21"/>
              </w:rPr>
            </w:pPr>
            <w:r>
              <w:rPr>
                <w:rFonts w:hint="eastAsia" w:ascii="宋体" w:hAnsi="宋体" w:cs="宋体"/>
                <w:szCs w:val="21"/>
              </w:rPr>
              <w:t>312</w:t>
            </w:r>
          </w:p>
        </w:tc>
        <w:tc>
          <w:tcPr>
            <w:tcW w:w="2365" w:type="dxa"/>
          </w:tcPr>
          <w:p>
            <w:pPr>
              <w:spacing w:line="360" w:lineRule="auto"/>
              <w:jc w:val="center"/>
              <w:rPr>
                <w:rFonts w:ascii="宋体" w:hAnsi="宋体" w:cs="宋体"/>
                <w:szCs w:val="21"/>
              </w:rPr>
            </w:pPr>
            <w:r>
              <w:rPr>
                <w:rFonts w:hint="eastAsia" w:ascii="宋体" w:hAnsi="宋体" w:cs="宋体"/>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szCs w:val="21"/>
              </w:rPr>
            </w:pPr>
            <w:r>
              <w:rPr>
                <w:rFonts w:hint="eastAsia" w:ascii="宋体" w:hAnsi="宋体" w:cs="宋体"/>
                <w:szCs w:val="21"/>
              </w:rPr>
              <w:t>合计</w:t>
            </w:r>
          </w:p>
        </w:tc>
        <w:tc>
          <w:tcPr>
            <w:tcW w:w="2841" w:type="dxa"/>
          </w:tcPr>
          <w:p>
            <w:pPr>
              <w:spacing w:line="360" w:lineRule="auto"/>
              <w:jc w:val="center"/>
              <w:rPr>
                <w:rFonts w:ascii="宋体" w:hAnsi="宋体" w:cs="宋体"/>
                <w:szCs w:val="21"/>
              </w:rPr>
            </w:pPr>
            <w:r>
              <w:rPr>
                <w:rFonts w:hint="eastAsia" w:ascii="宋体" w:hAnsi="宋体" w:cs="宋体"/>
                <w:szCs w:val="21"/>
              </w:rPr>
              <w:t>1112</w:t>
            </w:r>
          </w:p>
        </w:tc>
        <w:tc>
          <w:tcPr>
            <w:tcW w:w="2365" w:type="dxa"/>
          </w:tcPr>
          <w:p>
            <w:pPr>
              <w:spacing w:line="360" w:lineRule="auto"/>
              <w:jc w:val="center"/>
              <w:rPr>
                <w:rFonts w:ascii="宋体" w:hAnsi="宋体" w:cs="宋体"/>
                <w:color w:val="FF0000"/>
                <w:szCs w:val="21"/>
              </w:rPr>
            </w:pPr>
          </w:p>
        </w:tc>
      </w:tr>
    </w:tbl>
    <w:p>
      <w:pPr>
        <w:spacing w:line="360" w:lineRule="auto"/>
        <w:ind w:firstLine="560" w:firstLineChars="200"/>
        <w:rPr>
          <w:rFonts w:ascii="宋体" w:hAnsi="宋体" w:cs="宋体"/>
          <w:sz w:val="28"/>
          <w:szCs w:val="28"/>
        </w:rPr>
      </w:pPr>
      <w:r>
        <w:rPr>
          <w:rFonts w:hint="eastAsia" w:ascii="宋体" w:hAnsi="宋体" w:cs="宋体"/>
          <w:sz w:val="28"/>
          <w:szCs w:val="28"/>
        </w:rPr>
        <w:t>财经商贸类毕业学生人数为46人，就业学生人数为14人，初次就业起薪为1500元/月；汽修毕业学生人数为312人，就业学生人数为163人，初次就业起薪为1800元/月；信息技术类毕业学生人数为287人，就业学生人数为149人，初次就业起薪为2000元/月；教育类毕业学生人数为262人，就业学生人数为136人，初次就业起薪为1800元/月；</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en-US" w:eastAsia="zh-CN"/>
        </w:rPr>
        <w:t>4</w:t>
      </w:r>
      <w:bookmarkStart w:id="2" w:name="_GoBack"/>
      <w:bookmarkEnd w:id="2"/>
      <w:r>
        <w:rPr>
          <w:rFonts w:hint="eastAsia" w:ascii="宋体" w:hAnsi="宋体" w:cs="宋体"/>
          <w:b/>
          <w:bCs/>
          <w:sz w:val="28"/>
          <w:szCs w:val="28"/>
        </w:rPr>
        <w:t>职业发展</w:t>
      </w:r>
    </w:p>
    <w:p>
      <w:pPr>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sz w:val="28"/>
          <w:szCs w:val="28"/>
        </w:rPr>
        <w:t>为促进学生的职业发展，增强学生学习能力、岗位适应能力、岗位迁移能力、创新创业能力等，学校从学生入学开始就强化新生专业教育，培养学生的职业素养，树立职业观念。邀请校企合作的企业专家和精英骨干来校为学生做讲座，深入结合专业特点，紧密衔接新兴的技能技术和市场行业情况。学生在校期间学校会安排学生到实训基地或企业见习，通过半日见习活动，让学生能够理论结合实践，深入学习专业知识，更好的培养未来观、职业观。学生离校实习前，学校职业管理处会为学生做实习就业常识、职业生涯规划、就业创业知识等相关讲座，大力提升学习能力、岗位适应能力、就业创业观念等。</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3.质量保障措施</w:t>
      </w:r>
    </w:p>
    <w:p>
      <w:pPr>
        <w:widowControl/>
        <w:shd w:val="clear" w:color="auto" w:fill="FFFFFF"/>
        <w:spacing w:line="360" w:lineRule="auto"/>
        <w:ind w:firstLine="602" w:firstLineChars="200"/>
        <w:rPr>
          <w:rFonts w:ascii="宋体" w:hAnsi="宋体" w:cs="宋体"/>
          <w:kern w:val="0"/>
          <w:sz w:val="28"/>
          <w:szCs w:val="28"/>
          <w:shd w:val="clear" w:color="auto" w:fill="FFFFFF"/>
          <w:lang w:bidi="ar"/>
        </w:rPr>
      </w:pPr>
      <w:r>
        <w:rPr>
          <w:rFonts w:hint="eastAsia" w:ascii="宋体" w:hAnsi="宋体" w:cs="宋体"/>
          <w:b/>
          <w:bCs/>
          <w:kern w:val="0"/>
          <w:sz w:val="30"/>
          <w:szCs w:val="30"/>
          <w:shd w:val="clear" w:color="auto" w:fill="FFFFFF"/>
          <w:lang w:bidi="ar"/>
        </w:rPr>
        <w:t>3.1我校专业开设具体如下：</w:t>
      </w:r>
      <w:r>
        <w:rPr>
          <w:rFonts w:hint="eastAsia" w:ascii="宋体" w:hAnsi="宋体" w:cs="宋体"/>
          <w:kern w:val="0"/>
          <w:sz w:val="28"/>
          <w:szCs w:val="28"/>
          <w:shd w:val="clear" w:color="auto" w:fill="FFFFFF"/>
          <w:lang w:bidi="ar"/>
        </w:rPr>
        <w:t xml:space="preserve">    </w:t>
      </w:r>
    </w:p>
    <w:tbl>
      <w:tblPr>
        <w:tblStyle w:val="5"/>
        <w:tblW w:w="9420" w:type="dxa"/>
        <w:jc w:val="center"/>
        <w:tblLayout w:type="fixed"/>
        <w:tblCellMar>
          <w:top w:w="15" w:type="dxa"/>
          <w:left w:w="15" w:type="dxa"/>
          <w:bottom w:w="15" w:type="dxa"/>
          <w:right w:w="15" w:type="dxa"/>
        </w:tblCellMar>
      </w:tblPr>
      <w:tblGrid>
        <w:gridCol w:w="653"/>
        <w:gridCol w:w="1650"/>
        <w:gridCol w:w="2760"/>
        <w:gridCol w:w="2520"/>
        <w:gridCol w:w="1837"/>
      </w:tblGrid>
      <w:tr>
        <w:tblPrEx>
          <w:tblCellMar>
            <w:top w:w="15" w:type="dxa"/>
            <w:left w:w="15" w:type="dxa"/>
            <w:bottom w:w="15" w:type="dxa"/>
            <w:right w:w="15" w:type="dxa"/>
          </w:tblCellMar>
        </w:tblPrEx>
        <w:trPr>
          <w:trHeight w:val="624" w:hRule="atLeast"/>
          <w:jc w:val="center"/>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b/>
                <w:sz w:val="28"/>
                <w:szCs w:val="28"/>
              </w:rPr>
            </w:pPr>
            <w:r>
              <w:rPr>
                <w:rFonts w:hint="eastAsia" w:ascii="宋体" w:hAnsi="宋体" w:cs="宋体"/>
                <w:b/>
                <w:kern w:val="0"/>
                <w:sz w:val="28"/>
                <w:szCs w:val="28"/>
                <w:lang w:bidi="ar"/>
              </w:rPr>
              <w:t>序号</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学科</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专业分类</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562" w:firstLineChars="200"/>
              <w:jc w:val="center"/>
              <w:textAlignment w:val="center"/>
              <w:rPr>
                <w:rFonts w:ascii="宋体" w:hAnsi="宋体" w:cs="宋体"/>
                <w:b/>
                <w:sz w:val="28"/>
                <w:szCs w:val="28"/>
              </w:rPr>
            </w:pPr>
            <w:r>
              <w:rPr>
                <w:rFonts w:hint="eastAsia" w:ascii="宋体" w:hAnsi="宋体" w:cs="宋体"/>
                <w:b/>
                <w:kern w:val="0"/>
                <w:sz w:val="28"/>
                <w:szCs w:val="28"/>
                <w:lang w:bidi="ar"/>
              </w:rPr>
              <w:t>专业名称</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宋体" w:hAnsi="宋体" w:cs="宋体"/>
                <w:b/>
                <w:sz w:val="28"/>
                <w:szCs w:val="28"/>
              </w:rPr>
            </w:pPr>
            <w:r>
              <w:rPr>
                <w:rFonts w:hint="eastAsia" w:ascii="宋体" w:hAnsi="宋体" w:cs="宋体"/>
                <w:b/>
                <w:kern w:val="0"/>
                <w:sz w:val="28"/>
                <w:szCs w:val="28"/>
                <w:lang w:bidi="ar"/>
              </w:rPr>
              <w:t>专业代码</w:t>
            </w:r>
          </w:p>
        </w:tc>
      </w:tr>
      <w:tr>
        <w:tblPrEx>
          <w:tblCellMar>
            <w:top w:w="15" w:type="dxa"/>
            <w:left w:w="15" w:type="dxa"/>
            <w:bottom w:w="15" w:type="dxa"/>
            <w:right w:w="15" w:type="dxa"/>
          </w:tblCellMar>
        </w:tblPrEx>
        <w:trPr>
          <w:trHeight w:val="624"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r>
      <w:tr>
        <w:tblPrEx>
          <w:tblCellMar>
            <w:top w:w="15" w:type="dxa"/>
            <w:left w:w="15" w:type="dxa"/>
            <w:bottom w:w="15" w:type="dxa"/>
            <w:right w:w="15" w:type="dxa"/>
          </w:tblCellMar>
        </w:tblPrEx>
        <w:trPr>
          <w:trHeight w:val="624" w:hRule="atLeast"/>
          <w:jc w:val="center"/>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562" w:firstLineChars="200"/>
              <w:jc w:val="center"/>
              <w:rPr>
                <w:rFonts w:ascii="宋体" w:hAnsi="宋体" w:cs="宋体"/>
                <w:b/>
                <w:sz w:val="28"/>
                <w:szCs w:val="28"/>
              </w:rPr>
            </w:pP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信息技术类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计算机应用</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color w:val="000000"/>
                <w:kern w:val="0"/>
                <w:sz w:val="24"/>
              </w:rPr>
              <w:t>710201</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交通运输类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汽车运用与维修</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color w:val="000000"/>
                <w:kern w:val="0"/>
                <w:sz w:val="24"/>
              </w:rPr>
              <w:t>700206</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土木水利类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建筑工程施工</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color w:val="000000"/>
                <w:kern w:val="0"/>
                <w:sz w:val="24"/>
              </w:rPr>
              <w:t>640301</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工农建设</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土木水利类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建筑装饰</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宋体" w:hAnsi="宋体" w:cs="宋体"/>
                <w:color w:val="000000"/>
                <w:kern w:val="0"/>
                <w:sz w:val="22"/>
                <w:szCs w:val="22"/>
              </w:rPr>
              <w:t>640102</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公共管理与服务类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工商行政管理事务</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rPr>
              <w:t>790204</w:t>
            </w:r>
          </w:p>
        </w:tc>
      </w:tr>
      <w:tr>
        <w:tblPrEx>
          <w:tblCellMar>
            <w:top w:w="15" w:type="dxa"/>
            <w:left w:w="15" w:type="dxa"/>
            <w:bottom w:w="15" w:type="dxa"/>
            <w:right w:w="15" w:type="dxa"/>
          </w:tblCellMar>
        </w:tblPrEx>
        <w:trPr>
          <w:trHeight w:val="85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财经商贸类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会计事务</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rPr>
              <w:t>730301</w:t>
            </w:r>
          </w:p>
        </w:tc>
      </w:tr>
      <w:tr>
        <w:tblPrEx>
          <w:tblCellMar>
            <w:top w:w="15" w:type="dxa"/>
            <w:left w:w="15" w:type="dxa"/>
            <w:bottom w:w="15" w:type="dxa"/>
            <w:right w:w="15" w:type="dxa"/>
          </w:tblCellMar>
        </w:tblPrEx>
        <w:trPr>
          <w:trHeight w:val="85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社会服务</w:t>
            </w:r>
          </w:p>
        </w:tc>
        <w:tc>
          <w:tcPr>
            <w:tcW w:w="276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旅游服务类</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hint="eastAsia" w:ascii="宋体" w:hAnsi="宋体" w:cs="宋体"/>
                <w:kern w:val="0"/>
                <w:sz w:val="28"/>
                <w:szCs w:val="28"/>
                <w:lang w:bidi="ar"/>
              </w:rPr>
              <w:t>旅游服务与管理</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sz w:val="28"/>
                <w:szCs w:val="28"/>
              </w:rPr>
            </w:pPr>
            <w:r>
              <w:rPr>
                <w:rFonts w:ascii="仿宋" w:hAnsi="仿宋" w:eastAsia="仿宋" w:cs="宋体"/>
              </w:rPr>
              <w:t>740101</w:t>
            </w:r>
          </w:p>
        </w:tc>
      </w:tr>
    </w:tbl>
    <w:p>
      <w:pPr>
        <w:pStyle w:val="4"/>
        <w:widowControl/>
        <w:shd w:val="clear" w:color="auto" w:fill="FFFFFF"/>
        <w:spacing w:line="360" w:lineRule="auto"/>
        <w:ind w:firstLine="602" w:firstLineChars="200"/>
        <w:rPr>
          <w:rFonts w:ascii="宋体" w:hAnsi="宋体" w:cs="宋体"/>
          <w:b/>
          <w:sz w:val="30"/>
          <w:szCs w:val="30"/>
          <w:shd w:val="clear" w:color="auto" w:fill="FFFFFF"/>
        </w:rPr>
      </w:pPr>
      <w:bookmarkStart w:id="0" w:name="_Toc415178083"/>
      <w:r>
        <w:rPr>
          <w:rFonts w:hint="eastAsia" w:ascii="宋体" w:hAnsi="宋体" w:cs="宋体"/>
          <w:b/>
          <w:sz w:val="30"/>
          <w:szCs w:val="30"/>
          <w:shd w:val="clear" w:color="auto" w:fill="FFFFFF"/>
        </w:rPr>
        <w:t>3.2加强人才培养模式与课程体系改革</w:t>
      </w:r>
      <w:bookmarkEnd w:id="0"/>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学校大力开展人才培养模式与课程体系改革，建立完善了专业建设指导委员会。计算机应用技术、汽车运用与维修、学前教育3个重点专业构建了“双平台，阶梯式”、“岗证一体，工学结合”特色鲜明的人才培养模式。通过深入行业企业调研，形成了3个专业人才需求调研报告，制定了3个专业人才培养方案；深化课程体系改革，重构了3个专业课程体系，开发优质核心课程12门，建成校级精品课程9门，开发校本教材3本。</w:t>
      </w:r>
    </w:p>
    <w:p>
      <w:pPr>
        <w:pStyle w:val="4"/>
        <w:widowControl/>
        <w:shd w:val="clear" w:color="auto" w:fill="FFFFFF"/>
        <w:spacing w:line="360" w:lineRule="auto"/>
        <w:ind w:firstLine="602" w:firstLineChars="200"/>
        <w:rPr>
          <w:rFonts w:ascii="宋体" w:hAnsi="宋体" w:cs="宋体"/>
          <w:sz w:val="30"/>
          <w:szCs w:val="30"/>
        </w:rPr>
      </w:pPr>
      <w:bookmarkStart w:id="1" w:name="_Toc415178087"/>
      <w:r>
        <w:rPr>
          <w:rFonts w:hint="eastAsia" w:ascii="宋体" w:hAnsi="宋体" w:cs="宋体"/>
          <w:b/>
          <w:sz w:val="30"/>
          <w:szCs w:val="30"/>
          <w:shd w:val="clear" w:color="auto" w:fill="FFFFFF"/>
        </w:rPr>
        <w:t>3.3加强培养培训，师资队伍</w:t>
      </w:r>
      <w:bookmarkEnd w:id="1"/>
      <w:r>
        <w:rPr>
          <w:rFonts w:hint="eastAsia" w:ascii="宋体" w:hAnsi="宋体" w:cs="宋体"/>
          <w:b/>
          <w:sz w:val="30"/>
          <w:szCs w:val="30"/>
          <w:shd w:val="clear" w:color="auto" w:fill="FFFFFF"/>
        </w:rPr>
        <w:t>建设成效显著</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学校制定了《师资队伍建设规划》《专业带头人、骨干教师、“双师型”教师遴选及管理办法》等9项师资队伍建设专项制度；采用全员培训与分类培训相结合，促进了教师专业化成长。成功培养了专业带头人2名、高级教师职称2名、“双师型”教师71名，“双师型”教师占专业教师比例达到70%以上。形成了一支结构合理、的“双师型”教师团队师资队伍建设成效显著。</w:t>
      </w:r>
    </w:p>
    <w:p>
      <w:pPr>
        <w:widowControl/>
        <w:shd w:val="clear" w:color="auto" w:fill="FFFFFF"/>
        <w:spacing w:line="360" w:lineRule="auto"/>
        <w:ind w:firstLine="602" w:firstLineChars="200"/>
        <w:rPr>
          <w:rFonts w:ascii="宋体" w:hAnsi="宋体" w:cs="宋体"/>
          <w:b/>
          <w:bCs/>
          <w:kern w:val="0"/>
          <w:sz w:val="30"/>
          <w:szCs w:val="30"/>
          <w:shd w:val="clear" w:color="auto" w:fill="FFFFFF"/>
          <w:lang w:bidi="ar"/>
        </w:rPr>
      </w:pPr>
      <w:r>
        <w:rPr>
          <w:rFonts w:hint="eastAsia" w:ascii="宋体" w:hAnsi="宋体" w:cs="宋体"/>
          <w:b/>
          <w:bCs/>
          <w:kern w:val="0"/>
          <w:sz w:val="30"/>
          <w:szCs w:val="30"/>
          <w:shd w:val="clear" w:color="auto" w:fill="FFFFFF"/>
          <w:lang w:bidi="ar"/>
        </w:rPr>
        <w:t>3.4规范管理情况</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我校坚决贯彻《国务院关于加快发展现代职业教育的决定》，依据教育部和省教育厅《职业院校管理水平提升行动（2015-2018年）》要求，依法治校，规范办学。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教学管理：依据有关政策要求，按照课程标准开齐课程，开足课时，严格执行教学大纲和教学计划，采用班级授课制，理论与实操相结合，开展综合素质评定和技能考核考证评价。结合专业特点，抓好常规教学，切实加强教学管理。各个专业老师坚持备好课、写好教案，上好每一节课，上好示范课。每学期，老师们全员参与公开课活动，进行观摩和教学交流，公开课活动超过60多次。开展新老教师“结对子”一帮一活动。</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学生管理：实行全封闭式管理，学生管理工作遵循中职学生身心发展的特点和规律，为学生的终生发展服务，从校园文化建设、文明礼仪和法纪教育、心理健康教育、学生社团建设、就业创业教育五个方面加强学生管理。通过开展“十大校园文明标兵”、“校园文明宿舍”、“优秀团支部”评选活动，“禁控烟”教育活动，“反对校园欺凌”专题教育活动系列活动，提升了学生的法纪意识和自我管理能力。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财务管理：执行国家统一的会计制度、财务管理制度等财经制度，按上级要求配备财务人员，建立健全内部财务监督制度。实行校长一支笔审批制度，购物单据需正式发票，有经手人签字，分管领导签字，校长批示方可生效。财务上坚持收支两条线，所有收费经过学校同意，及时开票，及时入帐。积极开源节流，坚持艰苦奋斗，勤俭节约的方针。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后勤管理：建立由校长负总责、分管领导专门抓的工作小组，建立健全了有关后勤管理制度，以此作为开展各项工作的抓手。会计人员准确无误地收取开学初的各种费用，每学期结束时及时做好各种帐务核算，结清代办费。同时做好固定资产的清点、核实工作。成立了校长为组长的食品卫生安全工作领导小组，处理食品突发事件应急预案，严格执行《食堂管理员工作职责》、《食品卫生检查制度》等管理制度。签定《学校食品卫生安全承诺书》，以此强化后勤员工的服务和安全意识，不断提高服务质量，努力杜绝食品中毒等类安全事故。还注重加强食堂工作人员的卫生教育，定期对他们进行业务培训，及时兑现奖惩措施。后勤处定期召集食堂工作人员学习《学校卫生工作条例》、《学校食堂一学生集体用餐卫生管理规定》等法规，及时通报媒体报道的食物中毒等事件，警钟长鸣、防微杜渐。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安全管理：学校组建了以校长为组长，分管学生安全工作和分管学校德育工作的两位副校长为副组长，各部门负责人为成员的创建“平安校园”工作领导小组。校长为学校安全工作第一责任人，领导小组成员和各职能部门负责人分工明确，职责分明，形成一级抓一级、层层抓落实的责任网络。实施过程中有计划、有方案、有部署对处室和班主任、生活老师有阶段性检查、有考核。考核结果与开展“创文”活动紧密结合，与学生习惯养成教育紧密结合，与学生综合素质评价紧密结合。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科研管理：营造良好的学科研究氛围和研修文化，鼓励教师开展教育教学改革和实验，鼓励教师著书立说。对教师参加课题研究、发表论文论著、教学竞赛获得奖项给予相应奖励。深入开展教学研究。老师们听课和交流学习已成为我校教学常规上的一道亮丽风景线。老师们能及时反馈教学信息，交流经验，反思教学上存的问题。通过制作课件，激发学生兴趣，提高教学效果。通过撰写论文，提升教学能力。</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规范管理队伍建设：建立与办学层次、规模和专业设置相适应的教师队伍。制订管理制度，提高师风师德水平，营造良好教育教学环境。加大教师深造力度，分派骨干参加省、市业务学习，不断提升教师整体素质。深化改革，拟订教师考核指标，每学期考核一次，将教师收入与学校发展、所聘岗位及个人贡献挂钩，充分发挥收入分配的激励作用，激发教师的工作热情。    </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规范管理信息化水平：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所有教室都配备了多媒体，所有教师均能运用信息化手段开展课堂教学和网络教学</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3.5 德育工作情况</w:t>
      </w:r>
    </w:p>
    <w:p>
      <w:pPr>
        <w:spacing w:line="360" w:lineRule="auto"/>
        <w:ind w:firstLine="560" w:firstLineChars="200"/>
        <w:rPr>
          <w:rFonts w:ascii="宋体" w:hAnsi="宋体" w:cs="宋体"/>
          <w:sz w:val="28"/>
          <w:szCs w:val="28"/>
        </w:rPr>
      </w:pPr>
      <w:r>
        <w:rPr>
          <w:rFonts w:hint="eastAsia" w:ascii="宋体" w:hAnsi="宋体" w:cs="宋体"/>
          <w:sz w:val="28"/>
          <w:szCs w:val="28"/>
        </w:rPr>
        <w:t>在德育工作方面，德育处坚持组织学生每天早、中、晚上课前三读三唱，读国学经典，唱德音雅乐，净化学生心灵，且在两操设计上，每天开设不同操课，广播操、韵律操、队列队形、学生拜父母拜老师礼、德音雅乐等多种形式，一改传统课间操做操模式。在社团方面，学生在团委组织和带领下成立了舞蹈社、声乐社、礼仪社、古风社、篮球社等9个社团，丰富了学生的课余生活，此外学校还专门成立了学生校园监督小组（校卫队）对校园安全和违纪做巡逻，在学校老师安全监督的层面上，有更充分的对学校环境做了监督和检查。</w:t>
      </w:r>
    </w:p>
    <w:p>
      <w:pPr>
        <w:spacing w:line="360" w:lineRule="auto"/>
        <w:ind w:firstLine="560" w:firstLineChars="200"/>
        <w:rPr>
          <w:rFonts w:ascii="宋体" w:hAnsi="宋体" w:cs="宋体"/>
          <w:sz w:val="28"/>
          <w:szCs w:val="28"/>
        </w:rPr>
      </w:pPr>
      <w:r>
        <w:rPr>
          <w:rFonts w:hint="eastAsia" w:ascii="宋体" w:hAnsi="宋体" w:cs="宋体"/>
          <w:sz w:val="28"/>
          <w:szCs w:val="28"/>
        </w:rPr>
        <w:t>在学校活动方面。坚持每月一次大型文艺活动，每周一次班级小活动，定期开展社团活动，及社团活动、技能大赛等各种活动数不胜数。让你给学生的课余时间充分且充实。</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 xml:space="preserve">3.6党建工作 </w:t>
      </w:r>
    </w:p>
    <w:p>
      <w:pPr>
        <w:pStyle w:val="4"/>
        <w:widowControl/>
        <w:shd w:val="clear" w:color="auto" w:fill="FFFFFF"/>
        <w:spacing w:line="360" w:lineRule="auto"/>
        <w:ind w:firstLine="560" w:firstLineChars="200"/>
        <w:rPr>
          <w:rFonts w:ascii="宋体" w:hAnsi="宋体" w:cs="宋体"/>
          <w:sz w:val="28"/>
          <w:szCs w:val="28"/>
        </w:rPr>
      </w:pPr>
      <w:r>
        <w:rPr>
          <w:rFonts w:hint="eastAsia" w:ascii="宋体" w:hAnsi="宋体" w:cs="宋体"/>
          <w:sz w:val="28"/>
          <w:szCs w:val="28"/>
        </w:rPr>
        <w:t>以企业文化为切入点，引领德育工作形成良好开端，我校的企业文化为良知、孝道、奋斗，党建工作者把“孝”字落到实处。2021年3月以来，在校领导的安排下，我校党建工作人员制定学生赴敬老院义工服务的方案，每月中旬带领学生去双流区中心敬老院为老人送温暖并开展义工服务活动。服务的内容有陪老人谈心、帮厨、包包子服务活动等，学生在参加敬老院服务活动中对孝文化的理解更加形象化，也增强了社会责任感，学生不仅学会了生活技巧，还感受到了对社会的奉献精神，在献上指南针党员义工对孤寡、残疾老人们的关爱和呵护的同时，让老人们感受到了社会大家庭的温暖，也进一步提升了指南针学生讲良知、讲孝道的良好社会形象，为今后走上人生道路进行了良好的铺垫。</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4.校企合作</w:t>
      </w:r>
    </w:p>
    <w:p>
      <w:pPr>
        <w:pStyle w:val="4"/>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sz w:val="30"/>
          <w:szCs w:val="30"/>
        </w:rPr>
        <w:t xml:space="preserve">4.1校企合作开展情况 </w:t>
      </w:r>
    </w:p>
    <w:p>
      <w:pPr>
        <w:pStyle w:val="4"/>
        <w:widowControl/>
        <w:shd w:val="clear" w:color="auto" w:fill="FFFFFF"/>
        <w:spacing w:line="360" w:lineRule="auto"/>
        <w:ind w:firstLine="560" w:firstLineChars="200"/>
        <w:rPr>
          <w:rFonts w:ascii="宋体" w:hAnsi="宋体" w:cs="宋体"/>
          <w:sz w:val="28"/>
          <w:szCs w:val="28"/>
        </w:rPr>
      </w:pPr>
      <w:r>
        <w:rPr>
          <w:rFonts w:hint="eastAsia" w:ascii="宋体" w:hAnsi="宋体" w:cs="宋体"/>
          <w:sz w:val="28"/>
          <w:szCs w:val="28"/>
        </w:rPr>
        <w:t>学校积极开展校企合作，先后和重庆力帆等企业签订校企合作协议，寻求校企合作新机遇.</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4.2学生实习情况</w:t>
      </w:r>
    </w:p>
    <w:p>
      <w:pPr>
        <w:spacing w:line="360" w:lineRule="auto"/>
        <w:ind w:firstLine="560" w:firstLineChars="200"/>
        <w:rPr>
          <w:rFonts w:ascii="宋体" w:hAnsi="宋体" w:cs="宋体"/>
          <w:sz w:val="28"/>
          <w:szCs w:val="28"/>
        </w:rPr>
      </w:pPr>
      <w:r>
        <w:rPr>
          <w:rFonts w:hint="eastAsia" w:ascii="宋体" w:hAnsi="宋体" w:cs="宋体"/>
          <w:sz w:val="28"/>
          <w:szCs w:val="28"/>
        </w:rPr>
        <w:t>2021年，我校合作企业一共108家，其中工商行政管理事务和会计电算化专业合作企业为13家，计算机应用专业合作企业为26家，汽车运用与维修专业合作企业为39家，学前教育专业合作企业为30家。</w:t>
      </w:r>
    </w:p>
    <w:p>
      <w:pPr>
        <w:spacing w:line="360" w:lineRule="auto"/>
        <w:ind w:firstLine="560" w:firstLineChars="200"/>
        <w:rPr>
          <w:rFonts w:ascii="宋体" w:hAnsi="宋体" w:cs="宋体"/>
          <w:sz w:val="28"/>
          <w:szCs w:val="28"/>
        </w:rPr>
      </w:pPr>
      <w:r>
        <w:rPr>
          <w:rFonts w:hint="eastAsia" w:ascii="宋体" w:hAnsi="宋体" w:cs="宋体"/>
          <w:sz w:val="28"/>
          <w:szCs w:val="28"/>
        </w:rPr>
        <w:t>我校学生</w:t>
      </w:r>
      <w:r>
        <w:rPr>
          <w:rFonts w:hint="eastAsia" w:ascii="宋体" w:hAnsi="宋体" w:cs="宋体"/>
          <w:bCs/>
          <w:kern w:val="0"/>
          <w:sz w:val="28"/>
          <w:szCs w:val="28"/>
        </w:rPr>
        <w:t>进入企业</w:t>
      </w:r>
      <w:r>
        <w:rPr>
          <w:rFonts w:hint="eastAsia" w:ascii="宋体" w:hAnsi="宋体" w:cs="宋体"/>
          <w:sz w:val="28"/>
          <w:szCs w:val="28"/>
        </w:rPr>
        <w:t>实习开始，学校就业部门</w:t>
      </w:r>
      <w:r>
        <w:rPr>
          <w:rFonts w:hint="eastAsia" w:ascii="宋体" w:hAnsi="宋体" w:cs="宋体"/>
          <w:bCs/>
          <w:kern w:val="0"/>
          <w:sz w:val="28"/>
          <w:szCs w:val="28"/>
        </w:rPr>
        <w:t>分系部安排专门的就业老师</w:t>
      </w:r>
      <w:r>
        <w:rPr>
          <w:rFonts w:hint="eastAsia" w:ascii="宋体" w:hAnsi="宋体" w:cs="宋体"/>
          <w:sz w:val="28"/>
          <w:szCs w:val="28"/>
        </w:rPr>
        <w:t>定期对学生进行职业跟进，了解毕业生在外的实习情况，对有需要帮助的毕业生提供职业帮助，比如：职业指导、再次推荐实习等。</w:t>
      </w:r>
    </w:p>
    <w:p>
      <w:pPr>
        <w:spacing w:line="360" w:lineRule="auto"/>
        <w:ind w:firstLine="602" w:firstLineChars="200"/>
        <w:rPr>
          <w:rFonts w:ascii="宋体" w:hAnsi="宋体" w:cs="宋体"/>
          <w:b/>
          <w:bCs/>
          <w:sz w:val="30"/>
          <w:szCs w:val="30"/>
        </w:rPr>
      </w:pPr>
      <w:r>
        <w:rPr>
          <w:rFonts w:hint="eastAsia" w:ascii="宋体" w:hAnsi="宋体" w:cs="宋体"/>
          <w:b/>
          <w:bCs/>
          <w:sz w:val="30"/>
          <w:szCs w:val="30"/>
        </w:rPr>
        <w:t>5.社会贡献</w:t>
      </w:r>
    </w:p>
    <w:p>
      <w:pPr>
        <w:spacing w:line="360" w:lineRule="auto"/>
        <w:ind w:firstLine="560" w:firstLineChars="200"/>
        <w:rPr>
          <w:rFonts w:ascii="宋体" w:hAnsi="宋体" w:cs="宋体"/>
          <w:sz w:val="28"/>
          <w:szCs w:val="28"/>
        </w:rPr>
      </w:pPr>
      <w:r>
        <w:rPr>
          <w:rFonts w:hint="eastAsia" w:ascii="宋体" w:hAnsi="宋体" w:cs="宋体"/>
          <w:sz w:val="28"/>
          <w:szCs w:val="28"/>
        </w:rPr>
        <w:t>我校与多家企业建立了良好的校合作关系，共建企业定制班，深化完善校企合作机制，充分借助对方的技术和教育优势培养学生成为和市场紧密衔接的新技术人才，打通了学生到员工的零距离培养通道。根据多次电话沟通及回访面谈，企业负责人表示我校学生专业知识基础过硬，肯学肯干，各企业对我校学生的实习工作情况反馈良好，满意度达90%以上。</w:t>
      </w:r>
    </w:p>
    <w:p>
      <w:pPr>
        <w:widowControl/>
        <w:shd w:val="clear" w:color="auto" w:fill="FFFFFF"/>
        <w:spacing w:line="360" w:lineRule="auto"/>
        <w:ind w:firstLine="602" w:firstLineChars="200"/>
        <w:rPr>
          <w:rFonts w:ascii="宋体" w:hAnsi="宋体" w:cs="宋体"/>
          <w:b/>
          <w:bCs/>
          <w:sz w:val="30"/>
          <w:szCs w:val="30"/>
        </w:rPr>
      </w:pPr>
      <w:r>
        <w:rPr>
          <w:rFonts w:hint="eastAsia" w:ascii="宋体" w:hAnsi="宋体" w:cs="宋体"/>
          <w:b/>
          <w:bCs/>
          <w:kern w:val="0"/>
          <w:sz w:val="30"/>
          <w:szCs w:val="30"/>
          <w:shd w:val="clear" w:color="auto" w:fill="FFFFFF"/>
          <w:lang w:bidi="ar"/>
        </w:rPr>
        <w:t>6.主要问题与对策</w:t>
      </w:r>
    </w:p>
    <w:p>
      <w:pPr>
        <w:widowControl/>
        <w:shd w:val="clear" w:color="auto" w:fill="FFFFFF"/>
        <w:spacing w:line="360" w:lineRule="auto"/>
        <w:ind w:firstLine="560" w:firstLineChars="200"/>
        <w:rPr>
          <w:rFonts w:ascii="宋体" w:hAnsi="宋体" w:cs="宋体"/>
          <w:bCs/>
          <w:sz w:val="28"/>
          <w:szCs w:val="28"/>
        </w:rPr>
      </w:pPr>
      <w:r>
        <w:rPr>
          <w:rFonts w:hint="eastAsia" w:ascii="宋体" w:hAnsi="宋体" w:cs="宋体"/>
          <w:bCs/>
          <w:kern w:val="0"/>
          <w:sz w:val="28"/>
          <w:szCs w:val="28"/>
          <w:shd w:val="clear" w:color="auto" w:fill="FFFFFF"/>
          <w:lang w:bidi="ar"/>
        </w:rPr>
        <w:t>存在问题</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1．人才培养模式、课程体系、教学模式等教育教学改革还需要继续深入推进，教育教学质量还需要继续提高。</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2．师资队伍的数量、结构、质量与培养高素质技能型人才的要求还有较大差距，师资队伍素质和水平有待进一步提升。</w:t>
      </w:r>
    </w:p>
    <w:p>
      <w:pPr>
        <w:widowControl/>
        <w:shd w:val="clear" w:color="auto" w:fill="FFFFFF"/>
        <w:spacing w:line="360" w:lineRule="auto"/>
        <w:ind w:firstLine="562" w:firstLineChars="200"/>
        <w:rPr>
          <w:rFonts w:ascii="宋体" w:hAnsi="宋体" w:cs="宋体"/>
          <w:sz w:val="28"/>
          <w:szCs w:val="28"/>
        </w:rPr>
      </w:pPr>
      <w:r>
        <w:rPr>
          <w:rFonts w:hint="eastAsia" w:ascii="宋体" w:hAnsi="宋体" w:cs="宋体"/>
          <w:b/>
          <w:kern w:val="0"/>
          <w:sz w:val="28"/>
          <w:szCs w:val="28"/>
          <w:shd w:val="clear" w:color="auto" w:fill="FFFFFF"/>
          <w:lang w:bidi="ar"/>
        </w:rPr>
        <w:t>对策建议</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1．深化人才培养模式、课程体系、教学模式等教育教学改革，加强实践性教学，提高学生的职业技能、职业素养和综合素质。</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2．完善教师培养培训长效机制，继续强化对现有教师的培养培训，加强公开招考专业教师，加大企业兼职教师的招聘力度，不断提高师资队伍的整体素质。</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3．加大对实训基地建设的投入，不断添置、更新实训设备，对实训场地进行模拟生产场景改造，不断满足学生实习实训需要。</w:t>
      </w: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p>
    <w:p>
      <w:pPr>
        <w:widowControl/>
        <w:shd w:val="clear" w:color="auto" w:fill="FFFFFF"/>
        <w:spacing w:line="360" w:lineRule="auto"/>
        <w:ind w:firstLine="560" w:firstLineChars="200"/>
        <w:rPr>
          <w:rFonts w:ascii="宋体" w:hAnsi="宋体" w:cs="宋体"/>
          <w:kern w:val="0"/>
          <w:sz w:val="28"/>
          <w:szCs w:val="28"/>
          <w:shd w:val="clear" w:color="auto" w:fill="FFFFFF"/>
          <w:lang w:bidi="ar"/>
        </w:rPr>
      </w:pPr>
      <w:r>
        <w:rPr>
          <w:rFonts w:hint="eastAsia" w:ascii="宋体" w:hAnsi="宋体" w:cs="宋体"/>
          <w:kern w:val="0"/>
          <w:sz w:val="28"/>
          <w:szCs w:val="28"/>
          <w:shd w:val="clear" w:color="auto" w:fill="FFFFFF"/>
          <w:lang w:bidi="ar"/>
        </w:rPr>
        <w:t xml:space="preserve">                                成都指南针职业技术学校</w:t>
      </w:r>
    </w:p>
    <w:p>
      <w:pPr>
        <w:widowControl/>
        <w:shd w:val="clear" w:color="auto" w:fill="FFFFFF"/>
        <w:spacing w:line="360" w:lineRule="auto"/>
        <w:ind w:firstLine="560" w:firstLineChars="200"/>
        <w:rPr>
          <w:rFonts w:ascii="宋体" w:hAnsi="宋体" w:cs="宋体"/>
          <w:sz w:val="28"/>
          <w:szCs w:val="28"/>
        </w:rPr>
      </w:pPr>
      <w:r>
        <w:rPr>
          <w:rFonts w:hint="eastAsia" w:ascii="宋体" w:hAnsi="宋体" w:cs="宋体"/>
          <w:kern w:val="0"/>
          <w:sz w:val="28"/>
          <w:szCs w:val="28"/>
          <w:shd w:val="clear" w:color="auto" w:fill="FFFFFF"/>
          <w:lang w:bidi="ar"/>
        </w:rPr>
        <w:t xml:space="preserve">                                     2021年10月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F6"/>
    <w:rsid w:val="00007EDB"/>
    <w:rsid w:val="0012232D"/>
    <w:rsid w:val="001E4753"/>
    <w:rsid w:val="002A5E99"/>
    <w:rsid w:val="002B214C"/>
    <w:rsid w:val="004226DD"/>
    <w:rsid w:val="005316F6"/>
    <w:rsid w:val="0055276D"/>
    <w:rsid w:val="00593FEE"/>
    <w:rsid w:val="00631D22"/>
    <w:rsid w:val="006B7D30"/>
    <w:rsid w:val="007031C8"/>
    <w:rsid w:val="0077596F"/>
    <w:rsid w:val="00802EEC"/>
    <w:rsid w:val="00925A7E"/>
    <w:rsid w:val="00935B65"/>
    <w:rsid w:val="00961284"/>
    <w:rsid w:val="009619A0"/>
    <w:rsid w:val="009D05F6"/>
    <w:rsid w:val="00A207B6"/>
    <w:rsid w:val="00AE34D3"/>
    <w:rsid w:val="00B249F7"/>
    <w:rsid w:val="00C112A3"/>
    <w:rsid w:val="00CA5DEE"/>
    <w:rsid w:val="00EC0B3A"/>
    <w:rsid w:val="00EF79E8"/>
    <w:rsid w:val="00F95842"/>
    <w:rsid w:val="00F974C4"/>
    <w:rsid w:val="0105170B"/>
    <w:rsid w:val="06D765AB"/>
    <w:rsid w:val="0CE53D6E"/>
    <w:rsid w:val="10027682"/>
    <w:rsid w:val="181E1E16"/>
    <w:rsid w:val="1DC63DDD"/>
    <w:rsid w:val="1FD14F46"/>
    <w:rsid w:val="20070B4A"/>
    <w:rsid w:val="203B555D"/>
    <w:rsid w:val="22040B1B"/>
    <w:rsid w:val="288D5AC4"/>
    <w:rsid w:val="28977D4C"/>
    <w:rsid w:val="2BB27436"/>
    <w:rsid w:val="2DA00DB6"/>
    <w:rsid w:val="2DAC4FCA"/>
    <w:rsid w:val="2F4B1C47"/>
    <w:rsid w:val="332B06D1"/>
    <w:rsid w:val="345C406F"/>
    <w:rsid w:val="34D25EAA"/>
    <w:rsid w:val="353C6530"/>
    <w:rsid w:val="355A3AFE"/>
    <w:rsid w:val="35CB25E4"/>
    <w:rsid w:val="3AD0310B"/>
    <w:rsid w:val="3EAA1CEA"/>
    <w:rsid w:val="3F0430DB"/>
    <w:rsid w:val="40661B2E"/>
    <w:rsid w:val="43EF32A0"/>
    <w:rsid w:val="457473D3"/>
    <w:rsid w:val="49CE571A"/>
    <w:rsid w:val="50DA21C7"/>
    <w:rsid w:val="511E0E45"/>
    <w:rsid w:val="5735547C"/>
    <w:rsid w:val="5AFD1084"/>
    <w:rsid w:val="64A137C1"/>
    <w:rsid w:val="64D42924"/>
    <w:rsid w:val="702D5256"/>
    <w:rsid w:val="7644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897</Words>
  <Characters>5116</Characters>
  <Lines>42</Lines>
  <Paragraphs>12</Paragraphs>
  <TotalTime>78</TotalTime>
  <ScaleCrop>false</ScaleCrop>
  <LinksUpToDate>false</LinksUpToDate>
  <CharactersWithSpaces>6001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cp:lastModifiedBy>
  <dcterms:modified xsi:type="dcterms:W3CDTF">2021-11-30T02:03:13Z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4CC892D4BE4A482BAC0390146D839F6F</vt:lpwstr>
  </property>
</Properties>
</file>